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EA" w:rsidRPr="00685B73" w:rsidRDefault="00C21DEA" w:rsidP="007C361A">
      <w:pPr>
        <w:pStyle w:val="Pagedecouverture"/>
      </w:pPr>
      <w:bookmarkStart w:id="0" w:name="_GoBack"/>
      <w:r w:rsidRPr="003F0D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B3D8298A16A047E587E9D80EF4531291" style="width:450.75pt;height:363pt;visibility:visible">
            <v:imagedata r:id="rId7" o:title=""/>
          </v:shape>
        </w:pict>
      </w:r>
      <w:bookmarkEnd w:id="0"/>
    </w:p>
    <w:p w:rsidR="00C21DEA" w:rsidRPr="00685B73" w:rsidRDefault="00C21DEA">
      <w:pPr>
        <w:sectPr w:rsidR="00C21DEA" w:rsidRPr="00685B73" w:rsidSect="007C361A">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1"/>
          <w:cols w:space="720"/>
          <w:docGrid w:linePitch="360"/>
        </w:sectPr>
      </w:pPr>
    </w:p>
    <w:p w:rsidR="00C21DEA" w:rsidRPr="00685B73" w:rsidRDefault="00C21DEA" w:rsidP="007C361A">
      <w:pPr>
        <w:pStyle w:val="Typedudocument"/>
      </w:pPr>
      <w:r w:rsidRPr="007C361A">
        <w:t>DECISIONE DI ESECUZIONE DELLA COMMISSIONE</w:t>
      </w:r>
    </w:p>
    <w:p w:rsidR="00C21DEA" w:rsidRPr="00685B73" w:rsidRDefault="00C21DEA" w:rsidP="007C361A">
      <w:pPr>
        <w:pStyle w:val="Datedadoption"/>
      </w:pPr>
      <w:r w:rsidRPr="007C361A">
        <w:t xml:space="preserve">del </w:t>
      </w:r>
      <w:r w:rsidRPr="007C361A">
        <w:rPr>
          <w:rStyle w:val="Marker2"/>
        </w:rPr>
        <w:t>XXX</w:t>
      </w:r>
    </w:p>
    <w:p w:rsidR="00C21DEA" w:rsidRPr="00685B73" w:rsidRDefault="00C21DEA" w:rsidP="007C361A">
      <w:pPr>
        <w:pStyle w:val="Titreobjet"/>
      </w:pPr>
      <w:r w:rsidRPr="007C361A">
        <w:t>sulla liquidazione dei conti degli organismi pagatori degli Stati membri relativi alle</w:t>
      </w:r>
      <w:r>
        <w:t> </w:t>
      </w:r>
      <w:r w:rsidRPr="007C361A">
        <w:t>spese</w:t>
      </w:r>
      <w:r>
        <w:t> </w:t>
      </w:r>
      <w:r w:rsidRPr="007C361A">
        <w:t>finanziate dal Fondo europeo agricolo per lo sviluppo rurale (FEASR) nell'ultimo</w:t>
      </w:r>
      <w:r>
        <w:t> </w:t>
      </w:r>
      <w:r w:rsidRPr="007C361A">
        <w:t>esercizio di attuazione (16</w:t>
      </w:r>
      <w:r>
        <w:t> </w:t>
      </w:r>
      <w:r w:rsidRPr="007C361A">
        <w:t>ottobre 2014 - 31 dicembre 2015) del periodo</w:t>
      </w:r>
      <w:r>
        <w:t> </w:t>
      </w:r>
      <w:r w:rsidRPr="007C361A">
        <w:t>di</w:t>
      </w:r>
      <w:r>
        <w:t> </w:t>
      </w:r>
      <w:r w:rsidRPr="007C361A">
        <w:t xml:space="preserve">programmazione 2007-2013 </w:t>
      </w:r>
    </w:p>
    <w:p w:rsidR="00C21DEA" w:rsidRPr="00685B73" w:rsidRDefault="00C21DEA" w:rsidP="002F6495">
      <w:pPr>
        <w:pStyle w:val="Institutionquiagit"/>
        <w:spacing w:before="0" w:after="0"/>
        <w:rPr>
          <w:noProof/>
        </w:rPr>
      </w:pPr>
      <w:r w:rsidRPr="00685B73">
        <w:t>LA COMMISSIONE EUROPEA,</w:t>
      </w:r>
    </w:p>
    <w:p w:rsidR="00C21DEA" w:rsidRPr="00685B73" w:rsidRDefault="00C21DEA" w:rsidP="002F6495">
      <w:pPr>
        <w:tabs>
          <w:tab w:val="left" w:pos="0"/>
        </w:tabs>
        <w:rPr>
          <w:noProof/>
          <w:spacing w:val="-2"/>
        </w:rPr>
      </w:pPr>
      <w:r w:rsidRPr="00685B73">
        <w:t>visto il trattato sul funzionamento dell</w:t>
      </w:r>
      <w:r>
        <w:t>'</w:t>
      </w:r>
      <w:r w:rsidRPr="00685B73">
        <w:t>Unione europea,</w:t>
      </w:r>
    </w:p>
    <w:p w:rsidR="00C21DEA" w:rsidRPr="00685B73" w:rsidRDefault="00C21DEA" w:rsidP="00162CB8">
      <w:pPr>
        <w:tabs>
          <w:tab w:val="left" w:pos="0"/>
        </w:tabs>
        <w:rPr>
          <w:noProof/>
        </w:rPr>
      </w:pPr>
      <w:r w:rsidRPr="00685B73">
        <w:t>visto il regolamento (UE) n. </w:t>
      </w:r>
      <w:r w:rsidRPr="007C361A">
        <w:t>1306</w:t>
      </w:r>
      <w:r w:rsidRPr="00685B73">
        <w:t>/</w:t>
      </w:r>
      <w:r w:rsidRPr="007C361A">
        <w:t>2013</w:t>
      </w:r>
      <w:r w:rsidRPr="00685B73">
        <w:t xml:space="preserve"> del Parlamento europeo e del Consiglio, del </w:t>
      </w:r>
      <w:r w:rsidRPr="007C361A">
        <w:t>17</w:t>
      </w:r>
      <w:r>
        <w:t> </w:t>
      </w:r>
      <w:r w:rsidRPr="00685B73">
        <w:t xml:space="preserve">dicembre </w:t>
      </w:r>
      <w:r w:rsidRPr="007C361A">
        <w:t>2013</w:t>
      </w:r>
      <w:r w:rsidRPr="00685B73">
        <w:t>, sul finanziamento, sulla gestione e sul monitoraggio della politica agricola comune e che abroga i regolamenti del Consiglio (CEE) n. </w:t>
      </w:r>
      <w:r w:rsidRPr="007C361A">
        <w:t>352</w:t>
      </w:r>
      <w:r w:rsidRPr="00685B73">
        <w:t>/</w:t>
      </w:r>
      <w:r w:rsidRPr="007C361A">
        <w:t>78</w:t>
      </w:r>
      <w:r w:rsidRPr="00685B73">
        <w:t>, (CE) n. </w:t>
      </w:r>
      <w:r w:rsidRPr="007C361A">
        <w:t>165</w:t>
      </w:r>
      <w:r w:rsidRPr="00685B73">
        <w:t>/</w:t>
      </w:r>
      <w:r w:rsidRPr="007C361A">
        <w:t>94</w:t>
      </w:r>
      <w:r w:rsidRPr="00685B73">
        <w:t>, (CE) n. </w:t>
      </w:r>
      <w:r w:rsidRPr="007C361A">
        <w:t>2799</w:t>
      </w:r>
      <w:r w:rsidRPr="00685B73">
        <w:t>/</w:t>
      </w:r>
      <w:r w:rsidRPr="007C361A">
        <w:t>98</w:t>
      </w:r>
      <w:r w:rsidRPr="00685B73">
        <w:t>, (CE) n. </w:t>
      </w:r>
      <w:r w:rsidRPr="007C361A">
        <w:t>814</w:t>
      </w:r>
      <w:r w:rsidRPr="00685B73">
        <w:t>/</w:t>
      </w:r>
      <w:r w:rsidRPr="007C361A">
        <w:t>2000</w:t>
      </w:r>
      <w:r w:rsidRPr="00685B73">
        <w:t>, (CE) n. </w:t>
      </w:r>
      <w:r w:rsidRPr="007C361A">
        <w:t>1290</w:t>
      </w:r>
      <w:r w:rsidRPr="00685B73">
        <w:t>/</w:t>
      </w:r>
      <w:r w:rsidRPr="007C361A">
        <w:t>2005</w:t>
      </w:r>
      <w:r w:rsidRPr="00685B73">
        <w:t xml:space="preserve"> e (CE) n. </w:t>
      </w:r>
      <w:r w:rsidRPr="007C361A">
        <w:t>485</w:t>
      </w:r>
      <w:r w:rsidRPr="00685B73">
        <w:t>/</w:t>
      </w:r>
      <w:r w:rsidRPr="007C361A">
        <w:t>2008</w:t>
      </w:r>
      <w:r w:rsidRPr="00685B73">
        <w:rPr>
          <w:rStyle w:val="FootnoteReference"/>
          <w:noProof/>
        </w:rPr>
        <w:footnoteReference w:id="1"/>
      </w:r>
      <w:r w:rsidRPr="00685B73">
        <w:t>, in particolare l</w:t>
      </w:r>
      <w:r>
        <w:t>'articolo </w:t>
      </w:r>
      <w:r w:rsidRPr="007C361A">
        <w:t>51</w:t>
      </w:r>
      <w:r w:rsidRPr="00685B73">
        <w:t xml:space="preserve">, </w:t>
      </w:r>
    </w:p>
    <w:p w:rsidR="00C21DEA" w:rsidRPr="00685B73" w:rsidRDefault="00C21DEA" w:rsidP="002F6495">
      <w:pPr>
        <w:tabs>
          <w:tab w:val="left" w:pos="0"/>
        </w:tabs>
        <w:rPr>
          <w:noProof/>
          <w:spacing w:val="-2"/>
        </w:rPr>
      </w:pPr>
      <w:r w:rsidRPr="00685B73">
        <w:t>previa consultazione del comitato dei fondi agricoli,</w:t>
      </w:r>
    </w:p>
    <w:p w:rsidR="00C21DEA" w:rsidRPr="00685B73" w:rsidRDefault="00C21DEA" w:rsidP="002F6495">
      <w:pPr>
        <w:tabs>
          <w:tab w:val="left" w:pos="0"/>
        </w:tabs>
        <w:rPr>
          <w:noProof/>
          <w:spacing w:val="-2"/>
        </w:rPr>
      </w:pPr>
      <w:r w:rsidRPr="00685B73">
        <w:t>considerando quanto segue:</w:t>
      </w:r>
    </w:p>
    <w:p w:rsidR="00C21DEA" w:rsidRPr="00685B73" w:rsidRDefault="00C21DEA" w:rsidP="00CD23DB">
      <w:pPr>
        <w:pStyle w:val="Considrant"/>
        <w:numPr>
          <w:ilvl w:val="0"/>
          <w:numId w:val="25"/>
        </w:numPr>
        <w:rPr>
          <w:noProof/>
        </w:rPr>
      </w:pPr>
      <w:r w:rsidRPr="00685B73">
        <w:t>A norma dell</w:t>
      </w:r>
      <w:r>
        <w:t>'</w:t>
      </w:r>
      <w:r w:rsidRPr="00685B73">
        <w:t xml:space="preserve">articolo </w:t>
      </w:r>
      <w:r w:rsidRPr="007C361A">
        <w:t>51</w:t>
      </w:r>
      <w:r w:rsidRPr="00685B73">
        <w:t xml:space="preserve"> del regolamento (UE) n. </w:t>
      </w:r>
      <w:r w:rsidRPr="007C361A">
        <w:t>1306</w:t>
      </w:r>
      <w:r w:rsidRPr="00685B73">
        <w:t>/</w:t>
      </w:r>
      <w:r w:rsidRPr="007C361A">
        <w:t>2013</w:t>
      </w:r>
      <w:r w:rsidRPr="00685B73">
        <w:t xml:space="preserve"> la Commissione, sulla base dei conti annuali presentati dagli Stati membri, corredati delle informazioni necessarie per la loro liquidazione e di un parere di revisione in merito alla completezza, all</w:t>
      </w:r>
      <w:r>
        <w:t>'</w:t>
      </w:r>
      <w:r w:rsidRPr="00685B73">
        <w:t>esattezza e alla veridicità dei conti, oltre che delle relazioni redatte dagli organismi di certificazione, dovrebbe liquidare i conti degli organismi pagatori di cui all</w:t>
      </w:r>
      <w:r>
        <w:t>'</w:t>
      </w:r>
      <w:r w:rsidRPr="00685B73">
        <w:t xml:space="preserve">articolo </w:t>
      </w:r>
      <w:r w:rsidRPr="007C361A">
        <w:t>7</w:t>
      </w:r>
      <w:r w:rsidRPr="00685B73">
        <w:t xml:space="preserve"> del suddetto regolamento. </w:t>
      </w:r>
    </w:p>
    <w:p w:rsidR="00C21DEA" w:rsidRPr="00685B73" w:rsidRDefault="00C21DEA" w:rsidP="009B0168">
      <w:pPr>
        <w:pStyle w:val="Considrant"/>
        <w:numPr>
          <w:ilvl w:val="0"/>
          <w:numId w:val="25"/>
        </w:numPr>
        <w:rPr>
          <w:noProof/>
        </w:rPr>
      </w:pPr>
      <w:r w:rsidRPr="00685B73">
        <w:t>A norma dell</w:t>
      </w:r>
      <w:r>
        <w:t>'</w:t>
      </w:r>
      <w:r w:rsidRPr="00685B73">
        <w:t>articolo </w:t>
      </w:r>
      <w:r w:rsidRPr="007C361A">
        <w:t>37</w:t>
      </w:r>
      <w:r w:rsidRPr="00685B73">
        <w:t>, paragrafo </w:t>
      </w:r>
      <w:r w:rsidRPr="007C361A">
        <w:t>1</w:t>
      </w:r>
      <w:r w:rsidRPr="00685B73">
        <w:t>, del regolamento (UE) n. </w:t>
      </w:r>
      <w:r w:rsidRPr="007C361A">
        <w:t>1306</w:t>
      </w:r>
      <w:r w:rsidRPr="00685B73">
        <w:t>/</w:t>
      </w:r>
      <w:r w:rsidRPr="007C361A">
        <w:t>2013</w:t>
      </w:r>
      <w:r w:rsidRPr="00685B73">
        <w:t xml:space="preserve"> e dell</w:t>
      </w:r>
      <w:r>
        <w:t>'</w:t>
      </w:r>
      <w:r w:rsidRPr="00685B73">
        <w:t>articolo </w:t>
      </w:r>
      <w:r w:rsidRPr="007C361A">
        <w:t>41</w:t>
      </w:r>
      <w:r w:rsidRPr="00685B73">
        <w:t>, paragrafo </w:t>
      </w:r>
      <w:r w:rsidRPr="007C361A">
        <w:t>4</w:t>
      </w:r>
      <w:r w:rsidRPr="00685B73">
        <w:t>, lettera c), del regolamento delegato (UE) n. </w:t>
      </w:r>
      <w:r w:rsidRPr="007C361A">
        <w:t>907</w:t>
      </w:r>
      <w:r w:rsidRPr="00685B73">
        <w:t>/</w:t>
      </w:r>
      <w:r w:rsidRPr="007C361A">
        <w:t>2014</w:t>
      </w:r>
      <w:r w:rsidRPr="00685B73">
        <w:t xml:space="preserve"> della Commissione</w:t>
      </w:r>
      <w:r w:rsidRPr="00685B73">
        <w:rPr>
          <w:rStyle w:val="FootnoteReference"/>
        </w:rPr>
        <w:footnoteReference w:id="2"/>
      </w:r>
      <w:r w:rsidRPr="00685B73">
        <w:t>, per l</w:t>
      </w:r>
      <w:r>
        <w:t>'</w:t>
      </w:r>
      <w:r w:rsidRPr="00685B73">
        <w:t>ultimo esercizio di attuazione i conti annuali dovrebbero essere presentati alla Commissione entro i sei mesi successivi al termine ultimo di ammissibilità e riguardano le spese effettuate dall</w:t>
      </w:r>
      <w:r>
        <w:t>'</w:t>
      </w:r>
      <w:r w:rsidRPr="00685B73">
        <w:t xml:space="preserve">organismo pagatore fino al termine ultimo di ammissibilità delle spese, ovvero il </w:t>
      </w:r>
      <w:r w:rsidRPr="007C361A">
        <w:t>31</w:t>
      </w:r>
      <w:r w:rsidRPr="00685B73">
        <w:t xml:space="preserve"> dicembre </w:t>
      </w:r>
      <w:r w:rsidRPr="007C361A">
        <w:t>2015</w:t>
      </w:r>
      <w:r w:rsidRPr="00685B73">
        <w:t>.</w:t>
      </w:r>
    </w:p>
    <w:p w:rsidR="00C21DEA" w:rsidRPr="00685B73" w:rsidRDefault="00C21DEA" w:rsidP="009B0168">
      <w:pPr>
        <w:pStyle w:val="Considrant"/>
        <w:numPr>
          <w:ilvl w:val="0"/>
          <w:numId w:val="25"/>
        </w:numPr>
        <w:rPr>
          <w:noProof/>
        </w:rPr>
      </w:pPr>
      <w:r w:rsidRPr="00685B73">
        <w:t>A norma dell</w:t>
      </w:r>
      <w:r>
        <w:t>'</w:t>
      </w:r>
      <w:r w:rsidRPr="00685B73">
        <w:t>articolo </w:t>
      </w:r>
      <w:r w:rsidRPr="007C361A">
        <w:t>37</w:t>
      </w:r>
      <w:r w:rsidRPr="00685B73">
        <w:t>, paragrafi </w:t>
      </w:r>
      <w:r w:rsidRPr="007C361A">
        <w:t>1</w:t>
      </w:r>
      <w:r w:rsidRPr="00685B73">
        <w:t xml:space="preserve"> e </w:t>
      </w:r>
      <w:r w:rsidRPr="007C361A">
        <w:t>2</w:t>
      </w:r>
      <w:r w:rsidRPr="00685B73">
        <w:t>, del regolamento (UE) n. </w:t>
      </w:r>
      <w:r w:rsidRPr="007C361A">
        <w:t>1306</w:t>
      </w:r>
      <w:r w:rsidRPr="00685B73">
        <w:t>/</w:t>
      </w:r>
      <w:r w:rsidRPr="007C361A">
        <w:t>2013</w:t>
      </w:r>
      <w:r w:rsidRPr="00685B73">
        <w:t>, la Commissione, dopo aver ricevuto l</w:t>
      </w:r>
      <w:r>
        <w:t>'</w:t>
      </w:r>
      <w:r w:rsidRPr="00685B73">
        <w:t>ultima relazione annuale sullo stato di attuazione di un programma di sviluppo rurale, dovrebbe provvedere al pagamento del saldo, nei limiti delle disponibilità di bilancio, in base al piano di finanziamento in vigore, ai conti annuali dell</w:t>
      </w:r>
      <w:r>
        <w:t>'</w:t>
      </w:r>
      <w:r w:rsidRPr="00685B73">
        <w:t>ultimo esercizio di attuazione del relativo programma di sviluppo rurale e alla corrispondente decisione di liquidazione.</w:t>
      </w:r>
    </w:p>
    <w:p w:rsidR="00C21DEA" w:rsidRPr="00685B73" w:rsidRDefault="00C21DEA" w:rsidP="009B0168">
      <w:pPr>
        <w:pStyle w:val="Considrant"/>
        <w:numPr>
          <w:ilvl w:val="0"/>
          <w:numId w:val="25"/>
        </w:numPr>
        <w:rPr>
          <w:noProof/>
        </w:rPr>
      </w:pPr>
      <w:r w:rsidRPr="00685B73">
        <w:t>A norma dell</w:t>
      </w:r>
      <w:r>
        <w:t>'</w:t>
      </w:r>
      <w:r w:rsidRPr="00685B73">
        <w:t>articolo </w:t>
      </w:r>
      <w:r w:rsidRPr="007C361A">
        <w:t>37</w:t>
      </w:r>
      <w:r w:rsidRPr="00685B73">
        <w:t>, paragrafo </w:t>
      </w:r>
      <w:r w:rsidRPr="007C361A">
        <w:t>1</w:t>
      </w:r>
      <w:r w:rsidRPr="00685B73">
        <w:t>, del regolamento (UE) n. </w:t>
      </w:r>
      <w:r w:rsidRPr="007C361A">
        <w:t>1306</w:t>
      </w:r>
      <w:r w:rsidRPr="00685B73">
        <w:t>/</w:t>
      </w:r>
      <w:r w:rsidRPr="007C361A">
        <w:t>2013</w:t>
      </w:r>
      <w:r>
        <w:t>, gli Stati </w:t>
      </w:r>
      <w:r w:rsidRPr="00685B73">
        <w:t xml:space="preserve">membri hanno trasmesso alla Commissione una serie completa di conti entro il </w:t>
      </w:r>
      <w:r w:rsidRPr="007C361A">
        <w:t>30</w:t>
      </w:r>
      <w:r>
        <w:t> </w:t>
      </w:r>
      <w:r w:rsidRPr="00685B73">
        <w:t xml:space="preserve">giugno </w:t>
      </w:r>
      <w:r w:rsidRPr="007C361A">
        <w:t>2016</w:t>
      </w:r>
      <w:r w:rsidRPr="00685B73">
        <w:t xml:space="preserve">. </w:t>
      </w:r>
    </w:p>
    <w:p w:rsidR="00C21DEA" w:rsidRPr="00685B73" w:rsidRDefault="00C21DEA" w:rsidP="009B0168">
      <w:pPr>
        <w:pStyle w:val="Considrant"/>
        <w:numPr>
          <w:ilvl w:val="0"/>
          <w:numId w:val="25"/>
        </w:numPr>
        <w:rPr>
          <w:noProof/>
        </w:rPr>
      </w:pPr>
      <w:r w:rsidRPr="00685B73">
        <w:t xml:space="preserve">La Commissione ha verificato le informazioni trasmesse dagli Stati membri e ha comunicato loro entro il </w:t>
      </w:r>
      <w:r w:rsidRPr="007C361A">
        <w:t>30</w:t>
      </w:r>
      <w:r w:rsidRPr="00685B73">
        <w:t xml:space="preserve"> settembre </w:t>
      </w:r>
      <w:r w:rsidRPr="007C361A">
        <w:t>2016</w:t>
      </w:r>
      <w:r w:rsidRPr="00685B73">
        <w:t xml:space="preserve"> le risultanze delle verifiche, corredate delle modifiche necessarie. </w:t>
      </w:r>
    </w:p>
    <w:p w:rsidR="00C21DEA" w:rsidRPr="00685B73" w:rsidRDefault="00C21DEA" w:rsidP="009B0168">
      <w:pPr>
        <w:pStyle w:val="Considrant"/>
        <w:numPr>
          <w:ilvl w:val="0"/>
          <w:numId w:val="25"/>
        </w:numPr>
        <w:rPr>
          <w:noProof/>
        </w:rPr>
      </w:pPr>
      <w:r w:rsidRPr="00685B73">
        <w:t>Per taluni organismi pagatori, i conti annuali e la documentazione a corredo permettono alla Commissione di decidere sulla completezza, l</w:t>
      </w:r>
      <w:r>
        <w:t>'</w:t>
      </w:r>
      <w:r w:rsidRPr="00685B73">
        <w:t>esattezza e la veridicità dei conti trasmessi.</w:t>
      </w:r>
    </w:p>
    <w:p w:rsidR="00C21DEA" w:rsidRPr="00685B73" w:rsidRDefault="00C21DEA" w:rsidP="009249CD">
      <w:pPr>
        <w:pStyle w:val="Considrant"/>
        <w:numPr>
          <w:ilvl w:val="0"/>
          <w:numId w:val="25"/>
        </w:numPr>
        <w:rPr>
          <w:noProof/>
        </w:rPr>
      </w:pPr>
      <w:r w:rsidRPr="00685B73">
        <w:t xml:space="preserve">Le informazioni trasmesse da altri organismi pagatori richiedono ulteriori indagini e non permettono pertanto di procedere, con la presente decisione di esecuzione, alla liquidazione dei conti da questi presentati. </w:t>
      </w:r>
    </w:p>
    <w:p w:rsidR="00C21DEA" w:rsidRPr="00685B73" w:rsidRDefault="00C21DEA" w:rsidP="00981BFA">
      <w:pPr>
        <w:pStyle w:val="Considrant"/>
        <w:numPr>
          <w:ilvl w:val="0"/>
          <w:numId w:val="25"/>
        </w:numPr>
        <w:rPr>
          <w:noProof/>
        </w:rPr>
      </w:pPr>
      <w:r w:rsidRPr="00685B73">
        <w:t>A norma dell</w:t>
      </w:r>
      <w:r>
        <w:t>'</w:t>
      </w:r>
      <w:r w:rsidRPr="00685B73">
        <w:t>articolo </w:t>
      </w:r>
      <w:r w:rsidRPr="007C361A">
        <w:t>36</w:t>
      </w:r>
      <w:r w:rsidRPr="00685B73">
        <w:t>, paragrafo </w:t>
      </w:r>
      <w:r w:rsidRPr="007C361A">
        <w:t>3</w:t>
      </w:r>
      <w:r w:rsidRPr="00685B73">
        <w:t>, lettera b), del regolamento (UE) n. </w:t>
      </w:r>
      <w:r w:rsidRPr="007C361A">
        <w:t>1306</w:t>
      </w:r>
      <w:r w:rsidRPr="00685B73">
        <w:t>/</w:t>
      </w:r>
      <w:r w:rsidRPr="007C361A">
        <w:t>2013</w:t>
      </w:r>
      <w:r w:rsidRPr="00685B73">
        <w:t xml:space="preserve">, un importo di </w:t>
      </w:r>
      <w:r w:rsidRPr="007C361A">
        <w:t>9</w:t>
      </w:r>
      <w:r w:rsidRPr="00685B73">
        <w:t> </w:t>
      </w:r>
      <w:r w:rsidRPr="007C361A">
        <w:t>934</w:t>
      </w:r>
      <w:r w:rsidRPr="00685B73">
        <w:t> </w:t>
      </w:r>
      <w:r w:rsidRPr="007C361A">
        <w:t>738</w:t>
      </w:r>
      <w:r w:rsidRPr="00685B73">
        <w:t>,</w:t>
      </w:r>
      <w:r w:rsidRPr="007C361A">
        <w:t>68</w:t>
      </w:r>
      <w:r w:rsidRPr="00685B73">
        <w:t> EUR è stato escluso dalla decisione di liquidazione annuale dei conti per l</w:t>
      </w:r>
      <w:r>
        <w:t>'</w:t>
      </w:r>
      <w:r w:rsidRPr="00685B73">
        <w:t xml:space="preserve">esercizio finanziario </w:t>
      </w:r>
      <w:r w:rsidRPr="007C361A">
        <w:t>2014</w:t>
      </w:r>
      <w:r w:rsidRPr="00685B73">
        <w:t xml:space="preserve">. Si tratta di </w:t>
      </w:r>
      <w:r w:rsidRPr="007C361A">
        <w:t>1</w:t>
      </w:r>
      <w:r w:rsidRPr="00685B73">
        <w:t> </w:t>
      </w:r>
      <w:r w:rsidRPr="007C361A">
        <w:t>122</w:t>
      </w:r>
      <w:r w:rsidRPr="00685B73">
        <w:t> </w:t>
      </w:r>
      <w:r w:rsidRPr="007C361A">
        <w:t>778</w:t>
      </w:r>
      <w:r w:rsidRPr="00685B73">
        <w:t>,</w:t>
      </w:r>
      <w:r w:rsidRPr="007C361A">
        <w:t>99</w:t>
      </w:r>
      <w:r w:rsidRPr="00685B73">
        <w:t xml:space="preserve"> EUR dichiarati per il programma di sviluppo rurale </w:t>
      </w:r>
      <w:r w:rsidRPr="007C361A">
        <w:t>2007</w:t>
      </w:r>
      <w:r w:rsidRPr="00685B73">
        <w:t>EE</w:t>
      </w:r>
      <w:r w:rsidRPr="007C361A">
        <w:t>06</w:t>
      </w:r>
      <w:r w:rsidRPr="00685B73">
        <w:t>RP</w:t>
      </w:r>
      <w:r>
        <w:t>O</w:t>
      </w:r>
      <w:r w:rsidRPr="007C361A">
        <w:t>001</w:t>
      </w:r>
      <w:r w:rsidRPr="00685B73">
        <w:t xml:space="preserve">, di </w:t>
      </w:r>
      <w:r w:rsidRPr="007C361A">
        <w:t>18</w:t>
      </w:r>
      <w:r w:rsidRPr="00685B73">
        <w:t> </w:t>
      </w:r>
      <w:r w:rsidRPr="007C361A">
        <w:t>560</w:t>
      </w:r>
      <w:r w:rsidRPr="00685B73">
        <w:t>,</w:t>
      </w:r>
      <w:r w:rsidRPr="007C361A">
        <w:t>56</w:t>
      </w:r>
      <w:r w:rsidRPr="00685B73">
        <w:t xml:space="preserve"> EUR dichiarati per il programma di sviluppo rurale </w:t>
      </w:r>
      <w:r w:rsidRPr="007C361A">
        <w:t>2007</w:t>
      </w:r>
      <w:r w:rsidRPr="00685B73">
        <w:t>ES</w:t>
      </w:r>
      <w:r w:rsidRPr="007C361A">
        <w:t>06</w:t>
      </w:r>
      <w:r w:rsidRPr="00685B73">
        <w:t>RPO</w:t>
      </w:r>
      <w:r w:rsidRPr="007C361A">
        <w:t>009</w:t>
      </w:r>
      <w:r w:rsidRPr="00685B73">
        <w:t xml:space="preserve">, di </w:t>
      </w:r>
      <w:r w:rsidRPr="007C361A">
        <w:t>5</w:t>
      </w:r>
      <w:r w:rsidRPr="00685B73">
        <w:t> </w:t>
      </w:r>
      <w:r w:rsidRPr="007C361A">
        <w:t>599</w:t>
      </w:r>
      <w:r w:rsidRPr="00685B73">
        <w:t> </w:t>
      </w:r>
      <w:r w:rsidRPr="007C361A">
        <w:t>314</w:t>
      </w:r>
      <w:r w:rsidRPr="00685B73">
        <w:t>,</w:t>
      </w:r>
      <w:r w:rsidRPr="007C361A">
        <w:t>30</w:t>
      </w:r>
      <w:r w:rsidRPr="00685B73">
        <w:t xml:space="preserve"> EUR dichiarati per il programma di sviluppo rurale </w:t>
      </w:r>
      <w:r w:rsidRPr="007C361A">
        <w:t>2007</w:t>
      </w:r>
      <w:r w:rsidRPr="00685B73">
        <w:t>FI</w:t>
      </w:r>
      <w:r w:rsidRPr="007C361A">
        <w:t>06</w:t>
      </w:r>
      <w:r w:rsidRPr="00685B73">
        <w:t>RPO</w:t>
      </w:r>
      <w:r w:rsidRPr="007C361A">
        <w:t>001</w:t>
      </w:r>
      <w:r w:rsidRPr="00685B73">
        <w:t xml:space="preserve">, di </w:t>
      </w:r>
      <w:r w:rsidRPr="007C361A">
        <w:t>169</w:t>
      </w:r>
      <w:r w:rsidRPr="00685B73">
        <w:t> </w:t>
      </w:r>
      <w:r w:rsidRPr="007C361A">
        <w:t>459</w:t>
      </w:r>
      <w:r w:rsidRPr="00685B73">
        <w:t>,</w:t>
      </w:r>
      <w:r w:rsidRPr="007C361A">
        <w:t>49</w:t>
      </w:r>
      <w:r w:rsidRPr="00685B73">
        <w:t xml:space="preserve"> EUR dichiarati per il programma di sviluppo rurale </w:t>
      </w:r>
      <w:r w:rsidRPr="007C361A">
        <w:t>2007</w:t>
      </w:r>
      <w:r w:rsidRPr="00685B73">
        <w:t>LU</w:t>
      </w:r>
      <w:r w:rsidRPr="007C361A">
        <w:t>06</w:t>
      </w:r>
      <w:r w:rsidRPr="00685B73">
        <w:t>RPO</w:t>
      </w:r>
      <w:r w:rsidRPr="007C361A">
        <w:t>001</w:t>
      </w:r>
      <w:r w:rsidRPr="00685B73">
        <w:t xml:space="preserve"> e di </w:t>
      </w:r>
      <w:r w:rsidRPr="007C361A">
        <w:t>3</w:t>
      </w:r>
      <w:r w:rsidRPr="00685B73">
        <w:t> </w:t>
      </w:r>
      <w:r w:rsidRPr="007C361A">
        <w:t>024</w:t>
      </w:r>
      <w:r w:rsidRPr="00685B73">
        <w:t> </w:t>
      </w:r>
      <w:r w:rsidRPr="007C361A">
        <w:t>625</w:t>
      </w:r>
      <w:r w:rsidRPr="00685B73">
        <w:t>,</w:t>
      </w:r>
      <w:r w:rsidRPr="007C361A">
        <w:t>34</w:t>
      </w:r>
      <w:r w:rsidRPr="00685B73">
        <w:t xml:space="preserve"> EUR dichiarati per il programma di sviluppo rurale </w:t>
      </w:r>
      <w:r w:rsidRPr="007C361A">
        <w:t>2007</w:t>
      </w:r>
      <w:r w:rsidRPr="00685B73">
        <w:t>UK</w:t>
      </w:r>
      <w:r w:rsidRPr="007C361A">
        <w:t>06</w:t>
      </w:r>
      <w:r w:rsidRPr="00685B73">
        <w:t>RPO</w:t>
      </w:r>
      <w:r w:rsidRPr="007C361A">
        <w:t>002</w:t>
      </w:r>
      <w:r w:rsidRPr="00685B73">
        <w:t>. In seguito all</w:t>
      </w:r>
      <w:r>
        <w:t>'</w:t>
      </w:r>
      <w:r w:rsidRPr="00685B73">
        <w:t xml:space="preserve">adozione dei piani finanziari modificati, gli importi suddetti sono stati rimborsati dalla Commissione nel </w:t>
      </w:r>
      <w:r w:rsidRPr="007C361A">
        <w:t>2015</w:t>
      </w:r>
      <w:r w:rsidRPr="00685B73">
        <w:t xml:space="preserve"> e sono pertanto inseriti nella presente decisione di liquidazione. </w:t>
      </w:r>
    </w:p>
    <w:p w:rsidR="00C21DEA" w:rsidRPr="00685B73" w:rsidRDefault="00C21DEA" w:rsidP="009B0168">
      <w:pPr>
        <w:pStyle w:val="Considrant"/>
        <w:numPr>
          <w:ilvl w:val="0"/>
          <w:numId w:val="25"/>
        </w:numPr>
        <w:rPr>
          <w:noProof/>
        </w:rPr>
      </w:pPr>
      <w:r w:rsidRPr="00685B73">
        <w:t>A norma dell</w:t>
      </w:r>
      <w:r>
        <w:t>'</w:t>
      </w:r>
      <w:r w:rsidRPr="00685B73">
        <w:t xml:space="preserve">articolo </w:t>
      </w:r>
      <w:r w:rsidRPr="007C361A">
        <w:t>51</w:t>
      </w:r>
      <w:r w:rsidRPr="00685B73">
        <w:t xml:space="preserve"> del regolamento (UE) n. </w:t>
      </w:r>
      <w:r w:rsidRPr="007C361A">
        <w:t>1306</w:t>
      </w:r>
      <w:r w:rsidRPr="00685B73">
        <w:t>/</w:t>
      </w:r>
      <w:r w:rsidRPr="007C361A">
        <w:t>2013</w:t>
      </w:r>
      <w:r w:rsidRPr="00685B73">
        <w:t>, la presente decisione lascia impregiudicate le ulteriori decisioni che la Commissione può adottare a norma dell</w:t>
      </w:r>
      <w:r>
        <w:t>'</w:t>
      </w:r>
      <w:r w:rsidRPr="00685B73">
        <w:t xml:space="preserve">articolo </w:t>
      </w:r>
      <w:r w:rsidRPr="007C361A">
        <w:t>52</w:t>
      </w:r>
      <w:r w:rsidRPr="00685B73">
        <w:t xml:space="preserve"> del medesimo regolamento per escludere dal finanziamento dell</w:t>
      </w:r>
      <w:r>
        <w:t>'</w:t>
      </w:r>
      <w:r w:rsidRPr="00685B73">
        <w:t>Unione le spese eseguite in modo non conforme alle norme dell</w:t>
      </w:r>
      <w:r>
        <w:t>'</w:t>
      </w:r>
      <w:r w:rsidRPr="00685B73">
        <w:t>Unione.</w:t>
      </w:r>
    </w:p>
    <w:p w:rsidR="00C21DEA" w:rsidRPr="00685B73" w:rsidRDefault="00C21DEA" w:rsidP="006A2A6B">
      <w:pPr>
        <w:pStyle w:val="Considrant"/>
        <w:numPr>
          <w:ilvl w:val="0"/>
          <w:numId w:val="25"/>
        </w:numPr>
        <w:rPr>
          <w:noProof/>
          <w:szCs w:val="24"/>
        </w:rPr>
      </w:pPr>
      <w:r w:rsidRPr="00685B73">
        <w:t>Nell</w:t>
      </w:r>
      <w:r>
        <w:t>'</w:t>
      </w:r>
      <w:r w:rsidRPr="00685B73">
        <w:t>adottare la presente decisione la Commissione dovrebbe tener conto degli importi ridotti o sospesi in virtù dell</w:t>
      </w:r>
      <w:r>
        <w:t>'</w:t>
      </w:r>
      <w:r w:rsidRPr="00685B73">
        <w:t xml:space="preserve">articolo </w:t>
      </w:r>
      <w:r w:rsidRPr="007C361A">
        <w:t>41</w:t>
      </w:r>
      <w:r w:rsidRPr="00685B73">
        <w:t xml:space="preserve"> del regolamento (UE) n. </w:t>
      </w:r>
      <w:r w:rsidRPr="007C361A">
        <w:t>1306</w:t>
      </w:r>
      <w:r w:rsidRPr="00685B73">
        <w:t>/</w:t>
      </w:r>
      <w:r w:rsidRPr="007C361A">
        <w:t>2013</w:t>
      </w:r>
      <w:r w:rsidRPr="00685B73">
        <w:t>, per evitare pagamenti indebiti o intempestivi o rimborsi di importi che potrebbero in seguito essere oggetto di rettifica finanziaria. Con decisione di esecuzione C(</w:t>
      </w:r>
      <w:r w:rsidRPr="007C361A">
        <w:t>2015</w:t>
      </w:r>
      <w:r>
        <w:t>) </w:t>
      </w:r>
      <w:r w:rsidRPr="007C361A">
        <w:t>6810</w:t>
      </w:r>
      <w:r w:rsidRPr="00685B73">
        <w:t xml:space="preserve">, la Commissione ha ridotto i pagamenti intermedi legati al programma di sviluppo rurale della Lituania per il periodo di programmazione </w:t>
      </w:r>
      <w:r w:rsidRPr="007C361A">
        <w:t>2007</w:t>
      </w:r>
      <w:r w:rsidRPr="00685B73">
        <w:t>-</w:t>
      </w:r>
      <w:r w:rsidRPr="007C361A">
        <w:t>2013</w:t>
      </w:r>
      <w:r w:rsidRPr="00685B73">
        <w:t>. Poiché la procedura di cui all</w:t>
      </w:r>
      <w:r>
        <w:t>'</w:t>
      </w:r>
      <w:r w:rsidRPr="00685B73">
        <w:t>articolo </w:t>
      </w:r>
      <w:r w:rsidRPr="007C361A">
        <w:t>34</w:t>
      </w:r>
      <w:r w:rsidRPr="00685B73">
        <w:t xml:space="preserve"> del regolamento di esecuzione (UE) n. </w:t>
      </w:r>
      <w:r w:rsidRPr="007C361A">
        <w:t>908</w:t>
      </w:r>
      <w:r w:rsidRPr="00685B73">
        <w:t>/</w:t>
      </w:r>
      <w:r w:rsidRPr="007C361A">
        <w:t>2014</w:t>
      </w:r>
      <w:r w:rsidRPr="00685B73">
        <w:t xml:space="preserve"> è ancora in corso, tali riduzioni dovrebbero essere mantenute, </w:t>
      </w:r>
    </w:p>
    <w:p w:rsidR="00C21DEA" w:rsidRPr="00685B73" w:rsidRDefault="00C21DEA" w:rsidP="002F6495">
      <w:pPr>
        <w:pStyle w:val="Formuledadoption"/>
        <w:rPr>
          <w:noProof/>
        </w:rPr>
      </w:pPr>
      <w:r w:rsidRPr="00685B73">
        <w:t>HA ADOTTATO LA PRESENTE DECISIONE:</w:t>
      </w:r>
    </w:p>
    <w:p w:rsidR="00C21DEA" w:rsidRPr="00685B73" w:rsidRDefault="00C21DEA" w:rsidP="002F6495">
      <w:pPr>
        <w:pStyle w:val="Titrearticle"/>
        <w:rPr>
          <w:noProof/>
        </w:rPr>
      </w:pPr>
      <w:r w:rsidRPr="00685B73">
        <w:t xml:space="preserve">Articolo </w:t>
      </w:r>
      <w:r w:rsidRPr="007C361A">
        <w:t>1</w:t>
      </w:r>
    </w:p>
    <w:p w:rsidR="00C21DEA" w:rsidRPr="00685B73" w:rsidRDefault="00C21DEA" w:rsidP="002F6495">
      <w:pPr>
        <w:tabs>
          <w:tab w:val="left" w:pos="0"/>
        </w:tabs>
        <w:rPr>
          <w:noProof/>
          <w:spacing w:val="-2"/>
        </w:rPr>
      </w:pPr>
      <w:r w:rsidRPr="00685B73">
        <w:t>Fatta eccezione per gli organismi pagatori di cui all</w:t>
      </w:r>
      <w:r>
        <w:t>'</w:t>
      </w:r>
      <w:r w:rsidRPr="00685B73">
        <w:t xml:space="preserve">articolo </w:t>
      </w:r>
      <w:r w:rsidRPr="007C361A">
        <w:t>2</w:t>
      </w:r>
      <w:r w:rsidRPr="00685B73">
        <w:t>, con la presente decisione sono liquidati i conti degli organismi pagatori degli Stati membri relativi alle spese finanziate dal Fondo europeo agricolo per lo sviluppo rurale (FEASR) nell</w:t>
      </w:r>
      <w:r>
        <w:t>'</w:t>
      </w:r>
      <w:r w:rsidRPr="00685B73">
        <w:t>ultimo esercizio di attuazione (</w:t>
      </w:r>
      <w:r w:rsidRPr="007C361A">
        <w:t>16</w:t>
      </w:r>
      <w:r w:rsidRPr="00685B73">
        <w:t xml:space="preserve"> ottobre </w:t>
      </w:r>
      <w:r w:rsidRPr="007C361A">
        <w:t>2014</w:t>
      </w:r>
      <w:r w:rsidRPr="00685B73">
        <w:t xml:space="preserve"> - </w:t>
      </w:r>
      <w:r w:rsidRPr="007C361A">
        <w:t>31</w:t>
      </w:r>
      <w:r w:rsidRPr="00685B73">
        <w:t xml:space="preserve"> dicembre </w:t>
      </w:r>
      <w:r w:rsidRPr="007C361A">
        <w:t>2015</w:t>
      </w:r>
      <w:r w:rsidRPr="00685B73">
        <w:t xml:space="preserve">) del periodo di programmazione </w:t>
      </w:r>
      <w:r w:rsidRPr="007C361A">
        <w:t>2007</w:t>
      </w:r>
      <w:r w:rsidRPr="00685B73">
        <w:t>-</w:t>
      </w:r>
      <w:r w:rsidRPr="007C361A">
        <w:t>2013</w:t>
      </w:r>
      <w:r w:rsidRPr="00685B73">
        <w:t xml:space="preserve">. </w:t>
      </w:r>
    </w:p>
    <w:p w:rsidR="00C21DEA" w:rsidRPr="00685B73" w:rsidRDefault="00C21DEA" w:rsidP="002F6495">
      <w:pPr>
        <w:tabs>
          <w:tab w:val="left" w:pos="0"/>
        </w:tabs>
        <w:rPr>
          <w:noProof/>
          <w:spacing w:val="-2"/>
        </w:rPr>
      </w:pPr>
      <w:r w:rsidRPr="00685B73">
        <w:t>L</w:t>
      </w:r>
      <w:r>
        <w:t>'</w:t>
      </w:r>
      <w:r w:rsidRPr="00685B73">
        <w:t>elenco degli organismi pagatori, i cui conti dell</w:t>
      </w:r>
      <w:r>
        <w:t>'</w:t>
      </w:r>
      <w:r w:rsidRPr="00685B73">
        <w:t xml:space="preserve">ultimo esercizio di attuazione del periodo di programmazione </w:t>
      </w:r>
      <w:r w:rsidRPr="007C361A">
        <w:t>2007</w:t>
      </w:r>
      <w:r w:rsidRPr="00685B73">
        <w:t>-</w:t>
      </w:r>
      <w:r w:rsidRPr="007C361A">
        <w:t>2013</w:t>
      </w:r>
      <w:r w:rsidRPr="00685B73">
        <w:t xml:space="preserve"> del FEASR sono liquidati, è riportato nell</w:t>
      </w:r>
      <w:r>
        <w:t>'</w:t>
      </w:r>
      <w:r w:rsidRPr="00685B73">
        <w:t>allegato I.</w:t>
      </w:r>
    </w:p>
    <w:p w:rsidR="00C21DEA" w:rsidRPr="00685B73" w:rsidRDefault="00C21DEA" w:rsidP="002F6495">
      <w:pPr>
        <w:pStyle w:val="Titrearticle"/>
        <w:rPr>
          <w:noProof/>
        </w:rPr>
      </w:pPr>
      <w:r w:rsidRPr="00685B73">
        <w:t xml:space="preserve">Articolo </w:t>
      </w:r>
      <w:r w:rsidRPr="007C361A">
        <w:t>2</w:t>
      </w:r>
    </w:p>
    <w:p w:rsidR="00C21DEA" w:rsidRPr="00685B73" w:rsidRDefault="00C21DEA" w:rsidP="002F6495">
      <w:pPr>
        <w:tabs>
          <w:tab w:val="left" w:pos="0"/>
        </w:tabs>
        <w:rPr>
          <w:noProof/>
        </w:rPr>
      </w:pPr>
      <w:r w:rsidRPr="00685B73">
        <w:t>Per l</w:t>
      </w:r>
      <w:r>
        <w:t>'</w:t>
      </w:r>
      <w:r w:rsidRPr="00685B73">
        <w:t xml:space="preserve">ultimo esercizio di attuazione del periodo di programmazione </w:t>
      </w:r>
      <w:r w:rsidRPr="007C361A">
        <w:t>2007</w:t>
      </w:r>
      <w:r w:rsidRPr="00685B73">
        <w:t>-</w:t>
      </w:r>
      <w:r w:rsidRPr="007C361A">
        <w:t>2013</w:t>
      </w:r>
      <w:r w:rsidRPr="00685B73">
        <w:t xml:space="preserve"> del FEASR di cui all</w:t>
      </w:r>
      <w:r>
        <w:t>'</w:t>
      </w:r>
      <w:r w:rsidRPr="00685B73">
        <w:t>articolo </w:t>
      </w:r>
      <w:r w:rsidRPr="007C361A">
        <w:t>1</w:t>
      </w:r>
      <w:r w:rsidRPr="00685B73">
        <w:t>, i conti degli organismi pagatori degli Stati membri che figurano nell</w:t>
      </w:r>
      <w:r>
        <w:t>'</w:t>
      </w:r>
      <w:r w:rsidRPr="00685B73">
        <w:t>allegato II, relativi alle spese inerenti a ciascun programma di sviluppo rurale finanziato dal FEASR, non sono coperti dalla presente decisione e saranno oggetto di una futura decisione di liquidazione dei conti.</w:t>
      </w:r>
    </w:p>
    <w:p w:rsidR="00C21DEA" w:rsidRPr="00685B73" w:rsidRDefault="00C21DEA" w:rsidP="00156F0E">
      <w:pPr>
        <w:pStyle w:val="Titrearticle"/>
        <w:rPr>
          <w:noProof/>
        </w:rPr>
      </w:pPr>
      <w:r w:rsidRPr="00685B73">
        <w:t xml:space="preserve">Articolo </w:t>
      </w:r>
      <w:r w:rsidRPr="007C361A">
        <w:t>3</w:t>
      </w:r>
    </w:p>
    <w:p w:rsidR="00C21DEA" w:rsidRPr="00685B73" w:rsidRDefault="00C21DEA" w:rsidP="006370DA">
      <w:r w:rsidRPr="00685B73">
        <w:t xml:space="preserve">I saldi finali dei programmi di sviluppo rurale </w:t>
      </w:r>
      <w:r w:rsidRPr="007C361A">
        <w:t>2007</w:t>
      </w:r>
      <w:r w:rsidRPr="00685B73">
        <w:t>-</w:t>
      </w:r>
      <w:r w:rsidRPr="007C361A">
        <w:t>2013</w:t>
      </w:r>
      <w:r w:rsidRPr="00685B73">
        <w:t xml:space="preserve"> i cui pertinenti conti annuali degli organismi pagatori corrispondenti sono stati tutti liquidati figurano nell</w:t>
      </w:r>
      <w:r>
        <w:t>'</w:t>
      </w:r>
      <w:r w:rsidRPr="00685B73">
        <w:t>allegato III.</w:t>
      </w:r>
    </w:p>
    <w:p w:rsidR="00C21DEA" w:rsidRPr="00685B73" w:rsidRDefault="00C21DEA" w:rsidP="00957E21">
      <w:pPr>
        <w:pStyle w:val="Titrearticle"/>
        <w:rPr>
          <w:noProof/>
        </w:rPr>
      </w:pPr>
      <w:r w:rsidRPr="00685B73">
        <w:t xml:space="preserve">Articolo </w:t>
      </w:r>
      <w:r w:rsidRPr="007C361A">
        <w:t>4</w:t>
      </w:r>
    </w:p>
    <w:p w:rsidR="00C21DEA" w:rsidRPr="00685B73" w:rsidRDefault="00C21DEA" w:rsidP="00381485">
      <w:r w:rsidRPr="00685B73">
        <w:t>I programmi di sviluppo rurale i cui conti annuali degli organismi pagatori corrispondenti non sono stati liquidati per uno o più esercizi finanziari figurano nell</w:t>
      </w:r>
      <w:r>
        <w:t>'</w:t>
      </w:r>
      <w:r w:rsidRPr="00685B73">
        <w:t>allegato IV.</w:t>
      </w:r>
    </w:p>
    <w:p w:rsidR="00C21DEA" w:rsidRPr="00685B73" w:rsidRDefault="00C21DEA" w:rsidP="00156F0E">
      <w:pPr>
        <w:pStyle w:val="Titrearticle"/>
        <w:rPr>
          <w:noProof/>
        </w:rPr>
      </w:pPr>
      <w:r w:rsidRPr="00685B73">
        <w:t xml:space="preserve">Articolo </w:t>
      </w:r>
      <w:r w:rsidRPr="007C361A">
        <w:t>5</w:t>
      </w:r>
    </w:p>
    <w:p w:rsidR="00C21DEA" w:rsidRPr="00685B73" w:rsidRDefault="00C21DEA" w:rsidP="00DB4A64">
      <w:pPr>
        <w:tabs>
          <w:tab w:val="left" w:pos="0"/>
        </w:tabs>
        <w:spacing w:after="240"/>
        <w:rPr>
          <w:noProof/>
        </w:rPr>
      </w:pPr>
      <w:r w:rsidRPr="00685B73">
        <w:t>La presente decisione lascia impregiudicate eventuali ulteriori decisioni di verifica di conformità che la Commissione può adottare a norma dell</w:t>
      </w:r>
      <w:r>
        <w:t>'</w:t>
      </w:r>
      <w:r w:rsidRPr="00685B73">
        <w:t xml:space="preserve">articolo </w:t>
      </w:r>
      <w:r w:rsidRPr="007C361A">
        <w:t>52</w:t>
      </w:r>
      <w:r>
        <w:t xml:space="preserve"> del regolamento (UE) n. </w:t>
      </w:r>
      <w:r w:rsidRPr="007C361A">
        <w:t>1306</w:t>
      </w:r>
      <w:r w:rsidRPr="00685B73">
        <w:t>/</w:t>
      </w:r>
      <w:r w:rsidRPr="007C361A">
        <w:t>2013</w:t>
      </w:r>
      <w:r w:rsidRPr="00685B73">
        <w:t xml:space="preserve"> per escludere dal finanziamento dell</w:t>
      </w:r>
      <w:r>
        <w:t>'</w:t>
      </w:r>
      <w:r w:rsidRPr="00685B73">
        <w:t>Unione le spese eseguite in modo non conforme alle norme dell</w:t>
      </w:r>
      <w:r>
        <w:t>'</w:t>
      </w:r>
      <w:r w:rsidRPr="00685B73">
        <w:t>Unione.</w:t>
      </w:r>
    </w:p>
    <w:p w:rsidR="00C21DEA" w:rsidRPr="00685B73" w:rsidRDefault="00C21DEA" w:rsidP="00DB4A64">
      <w:pPr>
        <w:pStyle w:val="Titrearticle"/>
        <w:rPr>
          <w:noProof/>
        </w:rPr>
      </w:pPr>
      <w:r w:rsidRPr="00685B73">
        <w:t xml:space="preserve">Articolo </w:t>
      </w:r>
      <w:r w:rsidRPr="007C361A">
        <w:t>6</w:t>
      </w:r>
    </w:p>
    <w:p w:rsidR="00C21DEA" w:rsidRPr="00685B73" w:rsidRDefault="00C21DEA" w:rsidP="002F6495">
      <w:pPr>
        <w:tabs>
          <w:tab w:val="left" w:pos="0"/>
        </w:tabs>
        <w:spacing w:after="240"/>
        <w:rPr>
          <w:noProof/>
          <w:spacing w:val="-2"/>
        </w:rPr>
      </w:pPr>
      <w:r w:rsidRPr="00685B73">
        <w:t>Gli Stati membri sono destinatari della presente decisione.</w:t>
      </w:r>
    </w:p>
    <w:p w:rsidR="00C21DEA" w:rsidRPr="00685B73" w:rsidRDefault="00C21DEA" w:rsidP="007C361A">
      <w:pPr>
        <w:pStyle w:val="Fait"/>
        <w:rPr>
          <w:noProof/>
        </w:rPr>
      </w:pPr>
      <w:r w:rsidRPr="007C361A">
        <w:t>Fatto a Bruxelles, il</w:t>
      </w:r>
    </w:p>
    <w:p w:rsidR="00C21DEA" w:rsidRPr="00685B73" w:rsidRDefault="00C21DEA" w:rsidP="002F6495">
      <w:pPr>
        <w:pStyle w:val="Institutionquisigne"/>
        <w:rPr>
          <w:noProof/>
        </w:rPr>
      </w:pPr>
      <w:r w:rsidRPr="00685B73">
        <w:tab/>
        <w:t>Per la Commissione</w:t>
      </w:r>
    </w:p>
    <w:p w:rsidR="00C21DEA" w:rsidRPr="00685B73" w:rsidRDefault="00C21DEA" w:rsidP="002F6495">
      <w:pPr>
        <w:pStyle w:val="Personnequisigne"/>
        <w:rPr>
          <w:noProof/>
        </w:rPr>
      </w:pPr>
      <w:r w:rsidRPr="00685B73">
        <w:tab/>
        <w:t>Phil Hogan</w:t>
      </w:r>
    </w:p>
    <w:p w:rsidR="00C21DEA" w:rsidRPr="00685B73" w:rsidRDefault="00C21DEA" w:rsidP="002F6495">
      <w:pPr>
        <w:pStyle w:val="Personnequisigne"/>
        <w:rPr>
          <w:noProof/>
        </w:rPr>
      </w:pPr>
      <w:r w:rsidRPr="00685B73">
        <w:tab/>
        <w:t>Membro della Commissione</w:t>
      </w:r>
      <w:bookmarkStart w:id="1" w:name="_CopyToNewDocument_"/>
      <w:bookmarkEnd w:id="1"/>
    </w:p>
    <w:sectPr w:rsidR="00C21DEA" w:rsidRPr="00685B73" w:rsidSect="007C361A">
      <w:footerReference w:type="default" r:id="rId14"/>
      <w:footerReference w:type="first" r:id="rId15"/>
      <w:pgSz w:w="11907" w:h="16839"/>
      <w:pgMar w:top="1134"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DEA" w:rsidRDefault="00C21DEA" w:rsidP="002F6495">
      <w:pPr>
        <w:spacing w:before="0" w:after="0"/>
      </w:pPr>
      <w:r>
        <w:separator/>
      </w:r>
    </w:p>
  </w:endnote>
  <w:endnote w:type="continuationSeparator" w:id="0">
    <w:p w:rsidR="00C21DEA" w:rsidRDefault="00C21DEA" w:rsidP="002F649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EA" w:rsidRDefault="00C21D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EA" w:rsidRPr="007C361A" w:rsidRDefault="00C21DEA" w:rsidP="007C361A">
    <w:pPr>
      <w:pStyle w:val="Footer"/>
      <w:rPr>
        <w:rFonts w:ascii="Arial" w:hAnsi="Arial" w:cs="Arial"/>
        <w:b/>
        <w:sz w:val="48"/>
      </w:rPr>
    </w:pPr>
    <w:r w:rsidRPr="007C361A">
      <w:rPr>
        <w:rFonts w:ascii="Arial" w:hAnsi="Arial" w:cs="Arial"/>
        <w:b/>
        <w:sz w:val="48"/>
      </w:rPr>
      <w:t>IT</w:t>
    </w:r>
    <w:r w:rsidRPr="007C361A">
      <w:rPr>
        <w:rFonts w:ascii="Arial" w:hAnsi="Arial" w:cs="Arial"/>
        <w:b/>
        <w:sz w:val="48"/>
      </w:rPr>
      <w:tab/>
    </w:r>
    <w:r w:rsidRPr="007C361A">
      <w:rPr>
        <w:rFonts w:ascii="Arial" w:hAnsi="Arial" w:cs="Arial"/>
        <w:b/>
        <w:sz w:val="48"/>
      </w:rPr>
      <w:tab/>
    </w:r>
    <w:fldSimple w:instr=" DOCVARIABLE &quot;LW_Confidence&quot; \* MERGEFORMAT ">
      <w:r>
        <w:t xml:space="preserve"> </w:t>
      </w:r>
    </w:fldSimple>
    <w:r w:rsidRPr="007C361A">
      <w:tab/>
    </w:r>
    <w:r w:rsidRPr="007C361A">
      <w:rPr>
        <w:rFonts w:ascii="Arial" w:hAnsi="Arial" w:cs="Arial"/>
        <w:b/>
        <w:sz w:val="48"/>
      </w:rPr>
      <w:t>IT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EA" w:rsidRDefault="00C21DE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EA" w:rsidRPr="007C361A" w:rsidRDefault="00C21DEA" w:rsidP="007C361A">
    <w:pPr>
      <w:pStyle w:val="Footer"/>
      <w:rPr>
        <w:rFonts w:ascii="Arial" w:hAnsi="Arial" w:cs="Arial"/>
        <w:b/>
        <w:sz w:val="48"/>
      </w:rPr>
    </w:pPr>
    <w:r w:rsidRPr="007C361A">
      <w:rPr>
        <w:rFonts w:ascii="Arial" w:hAnsi="Arial" w:cs="Arial"/>
        <w:b/>
        <w:sz w:val="48"/>
      </w:rPr>
      <w:t>IT</w:t>
    </w:r>
    <w:r w:rsidRPr="007C361A">
      <w:rPr>
        <w:rFonts w:ascii="Arial" w:hAnsi="Arial" w:cs="Arial"/>
        <w:b/>
        <w:sz w:val="48"/>
      </w:rPr>
      <w:tab/>
    </w:r>
    <w:fldSimple w:instr=" PAGE  \* MERGEFORMAT ">
      <w:r>
        <w:rPr>
          <w:noProof/>
        </w:rPr>
        <w:t>2</w:t>
      </w:r>
    </w:fldSimple>
    <w:r>
      <w:tab/>
    </w:r>
    <w:fldSimple w:instr=" DOCVARIABLE &quot;LW_Confidence&quot; \* MERGEFORMAT ">
      <w:r>
        <w:t xml:space="preserve"> </w:t>
      </w:r>
    </w:fldSimple>
    <w:r w:rsidRPr="007C361A">
      <w:tab/>
    </w:r>
    <w:r w:rsidRPr="007C361A">
      <w:rPr>
        <w:rFonts w:ascii="Arial" w:hAnsi="Arial" w:cs="Arial"/>
        <w:b/>
        <w:sz w:val="48"/>
      </w:rPr>
      <w:t>IT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EA" w:rsidRPr="007C361A" w:rsidRDefault="00C21DEA" w:rsidP="007C36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DEA" w:rsidRDefault="00C21DEA" w:rsidP="002F6495">
      <w:pPr>
        <w:spacing w:before="0" w:after="0"/>
      </w:pPr>
      <w:r>
        <w:separator/>
      </w:r>
    </w:p>
  </w:footnote>
  <w:footnote w:type="continuationSeparator" w:id="0">
    <w:p w:rsidR="00C21DEA" w:rsidRDefault="00C21DEA" w:rsidP="002F6495">
      <w:pPr>
        <w:spacing w:before="0" w:after="0"/>
      </w:pPr>
      <w:r>
        <w:continuationSeparator/>
      </w:r>
    </w:p>
  </w:footnote>
  <w:footnote w:id="1">
    <w:p w:rsidR="00C21DEA" w:rsidRDefault="00C21DEA">
      <w:pPr>
        <w:pStyle w:val="FootnoteText"/>
      </w:pPr>
      <w:r>
        <w:rPr>
          <w:rStyle w:val="FootnoteReference"/>
        </w:rPr>
        <w:footnoteRef/>
      </w:r>
      <w:r>
        <w:tab/>
        <w:t xml:space="preserve">GU L </w:t>
      </w:r>
      <w:r w:rsidRPr="007C361A">
        <w:t>347</w:t>
      </w:r>
      <w:r>
        <w:t xml:space="preserve"> del </w:t>
      </w:r>
      <w:r w:rsidRPr="007C361A">
        <w:t>20</w:t>
      </w:r>
      <w:r>
        <w:t>.</w:t>
      </w:r>
      <w:r w:rsidRPr="007C361A">
        <w:t>12</w:t>
      </w:r>
      <w:r>
        <w:t>.</w:t>
      </w:r>
      <w:r w:rsidRPr="007C361A">
        <w:t>2013</w:t>
      </w:r>
      <w:r>
        <w:t xml:space="preserve">, pag. </w:t>
      </w:r>
      <w:r w:rsidRPr="007C361A">
        <w:t>549</w:t>
      </w:r>
      <w:r>
        <w:t>.</w:t>
      </w:r>
    </w:p>
  </w:footnote>
  <w:footnote w:id="2">
    <w:p w:rsidR="00C21DEA" w:rsidRDefault="00C21DEA">
      <w:pPr>
        <w:pStyle w:val="FootnoteText"/>
      </w:pPr>
      <w:r>
        <w:rPr>
          <w:rStyle w:val="FootnoteReference"/>
        </w:rPr>
        <w:footnoteRef/>
      </w:r>
      <w:r>
        <w:tab/>
        <w:t xml:space="preserve">GU L </w:t>
      </w:r>
      <w:r w:rsidRPr="007C361A">
        <w:t>255</w:t>
      </w:r>
      <w:r>
        <w:t xml:space="preserve"> del </w:t>
      </w:r>
      <w:r w:rsidRPr="007C361A">
        <w:t>28</w:t>
      </w:r>
      <w:r>
        <w:t>.</w:t>
      </w:r>
      <w:r w:rsidRPr="007C361A">
        <w:t>8</w:t>
      </w:r>
      <w:r>
        <w:t>.</w:t>
      </w:r>
      <w:r w:rsidRPr="007C361A">
        <w:t>2014</w:t>
      </w:r>
      <w:r>
        <w:t xml:space="preserve">, pag. </w:t>
      </w:r>
      <w:r w:rsidRPr="007C361A">
        <w:t>18</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EA" w:rsidRDefault="00C21D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EA" w:rsidRDefault="00C21D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EA" w:rsidRDefault="00C21D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BE3452FE"/>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FB0EEAE0"/>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AC5CEAE0"/>
    <w:lvl w:ilvl="0">
      <w:start w:val="1"/>
      <w:numFmt w:val="decimal"/>
      <w:lvlText w:val="%1."/>
      <w:lvlJc w:val="left"/>
      <w:pPr>
        <w:tabs>
          <w:tab w:val="num" w:pos="643"/>
        </w:tabs>
        <w:ind w:left="643" w:hanging="360"/>
      </w:pPr>
      <w:rPr>
        <w:rFonts w:cs="Times New Roman"/>
      </w:rPr>
    </w:lvl>
  </w:abstractNum>
  <w:abstractNum w:abstractNumId="3">
    <w:nsid w:val="FFFFFF81"/>
    <w:multiLevelType w:val="singleLevel"/>
    <w:tmpl w:val="E7A686A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70FE374C"/>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AFFABA5E"/>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C922A4D0"/>
    <w:lvl w:ilvl="0">
      <w:start w:val="1"/>
      <w:numFmt w:val="decimal"/>
      <w:lvlText w:val="%1."/>
      <w:lvlJc w:val="left"/>
      <w:pPr>
        <w:tabs>
          <w:tab w:val="num" w:pos="360"/>
        </w:tabs>
        <w:ind w:left="360" w:hanging="360"/>
      </w:pPr>
      <w:rPr>
        <w:rFonts w:cs="Times New Roman"/>
      </w:rPr>
    </w:lvl>
  </w:abstractNum>
  <w:abstractNum w:abstractNumId="7">
    <w:nsid w:val="FFFFFF89"/>
    <w:multiLevelType w:val="singleLevel"/>
    <w:tmpl w:val="A1A82310"/>
    <w:lvl w:ilvl="0">
      <w:start w:val="1"/>
      <w:numFmt w:val="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lvlText w:val="(%1)"/>
      <w:lvlJc w:val="left"/>
      <w:pPr>
        <w:tabs>
          <w:tab w:val="num" w:pos="709"/>
        </w:tabs>
        <w:ind w:left="709" w:hanging="709"/>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21"/>
    <w:lvlOverride w:ilvl="0">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stylePaneFormatFilter w:val="3F01"/>
  <w:defaultTabStop w:val="720"/>
  <w:hyphenationZone w:val="283"/>
  <w:drawingGridHorizontalSpacing w:val="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VERPAGE_EXISTS" w:val="True"/>
    <w:docVar w:name="DQCDateTime" w:val="2016-11-14 17:34: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Green"/>
    <w:docVar w:name="DQCVersion" w:val="3"/>
    <w:docVar w:name="DQCWithWarnings" w:val="1"/>
    <w:docVar w:name="LW_CONFIDENCE" w:val=" "/>
    <w:docVar w:name="LW_CONST_RESTREINT_UE" w:val="RESTREINT UE"/>
    <w:docVar w:name="LW_COVERPAGE_GUID" w:val="B3D8298A16A047E587E9D80EF4531291"/>
    <w:docVar w:name="LW_CROSSREFERENCE" w:val="&lt;UNUSED&gt;"/>
    <w:docVar w:name="LW_DATE.ADOPT.CP" w:val="del XXX"/>
    <w:docVar w:name="LW_DATE.ADOPT.CP_DATEFORMAT" w:val="del %DATE%"/>
    <w:docVar w:name="LW_DATE.ADOPT.CP_ISODATE" w:val="&lt;EMPTY&gt;"/>
    <w:docVar w:name="LW_DocType" w:val="COM"/>
    <w:docVar w:name="LW_EMISSION" w:val="&lt;EMPTY&gt;"/>
    <w:docVar w:name="LW_EMISSION_ISODATE" w:val="&lt;EMPTY&gt;"/>
    <w:docVar w:name="LW_EMISSION_LOCATION" w:val="BRX"/>
    <w:docVar w:name="LW_EMISSION_PREFIX" w:val="Bruxelles, "/>
    <w:docVar w:name="LW_EMISSION_SUFFIX" w:val=" "/>
    <w:docVar w:name="LW_ID_DOCMODEL" w:val="SJ-009"/>
    <w:docVar w:name="LW_ID_DOCSIGNATURE" w:val="SJ-009"/>
    <w:docVar w:name="LW_ID_DOCSTRUCTURE" w:val="COM/AA"/>
    <w:docVar w:name="LW_ID_DOCTYPE" w:val="SJ-009"/>
    <w:docVar w:name="LW_INTERETEEE.CP" w:val="&lt;UNUSED&gt;"/>
    <w:docVar w:name="LW_LANGUE" w:val="IT"/>
    <w:docVar w:name="LW_LANGUESFAISANTFOI.CP" w:val="&lt;UNUSED&gt;"/>
    <w:docVar w:name="LW_MARKING" w:val="&lt;UNUSED&gt;"/>
    <w:docVar w:name="LW_NOM.INST" w:val="COMMISSIONE EUROPEA"/>
    <w:docVar w:name="LW_NOM.INST_JOINTDOC" w:val="&lt;EMPTY&gt;"/>
    <w:docVar w:name="LW_PART_NBR" w:val="1"/>
    <w:docVar w:name="LW_PART_NBR_TOTAL" w:val="1"/>
    <w:docVar w:name="LW_REF.INST.NEW" w:val="&lt;EMPTY&gt;"/>
    <w:docVar w:name="LW_REF.INST.NEW_ADOPTED" w:val="draft"/>
    <w:docVar w:name="LW_REF.INST.NEW_TEXT" w:val="(2016) XXX"/>
    <w:docVar w:name="LW_REF.INTERNE" w:val="&lt;UNUSED&gt;"/>
    <w:docVar w:name="LW_SOUS.TITRE.OBJ.CP" w:val="&lt;UNUSED&gt;"/>
    <w:docVar w:name="LW_SUPERTITRE" w:val="&lt;UNUSED&gt;"/>
    <w:docVar w:name="LW_TITRE.OBJ.CP" w:val="sulla liquidazione dei conti degli organismi pagatori degli Stati membri relativi alle spese finanziate dal Fondo europeo agricolo per lo sviluppo rurale (FEASR) nell'ultimo esercizio di attuazione (16 ottobre 2014 - 31 dicembre 2015) del periodo di programmazione 2007-2013 "/>
    <w:docVar w:name="LW_TYPE.DOC.CP" w:val="DECISIONE DI ESECUZIONE DELLA COMMISSIONE"/>
  </w:docVars>
  <w:rsids>
    <w:rsidRoot w:val="002F6495"/>
    <w:rsid w:val="00002B57"/>
    <w:rsid w:val="00003093"/>
    <w:rsid w:val="0000620A"/>
    <w:rsid w:val="00010454"/>
    <w:rsid w:val="000109E7"/>
    <w:rsid w:val="0001239B"/>
    <w:rsid w:val="0002511F"/>
    <w:rsid w:val="000319A9"/>
    <w:rsid w:val="00033041"/>
    <w:rsid w:val="0003425E"/>
    <w:rsid w:val="00041B5A"/>
    <w:rsid w:val="00044EE1"/>
    <w:rsid w:val="00046632"/>
    <w:rsid w:val="00047733"/>
    <w:rsid w:val="00051CBC"/>
    <w:rsid w:val="0005297A"/>
    <w:rsid w:val="000530A3"/>
    <w:rsid w:val="00061980"/>
    <w:rsid w:val="000708D5"/>
    <w:rsid w:val="00076266"/>
    <w:rsid w:val="00080C94"/>
    <w:rsid w:val="00093EDA"/>
    <w:rsid w:val="0009722D"/>
    <w:rsid w:val="000A3580"/>
    <w:rsid w:val="000B2084"/>
    <w:rsid w:val="000B24F5"/>
    <w:rsid w:val="000B25BD"/>
    <w:rsid w:val="000B6478"/>
    <w:rsid w:val="000C219C"/>
    <w:rsid w:val="000D53A5"/>
    <w:rsid w:val="000E1BF9"/>
    <w:rsid w:val="000E754E"/>
    <w:rsid w:val="000F7C34"/>
    <w:rsid w:val="00101F1B"/>
    <w:rsid w:val="0010211D"/>
    <w:rsid w:val="00106057"/>
    <w:rsid w:val="00107BEA"/>
    <w:rsid w:val="001178C6"/>
    <w:rsid w:val="00122A58"/>
    <w:rsid w:val="00133418"/>
    <w:rsid w:val="00134190"/>
    <w:rsid w:val="001341F3"/>
    <w:rsid w:val="0013527E"/>
    <w:rsid w:val="00136B1E"/>
    <w:rsid w:val="00146359"/>
    <w:rsid w:val="00146552"/>
    <w:rsid w:val="0015440F"/>
    <w:rsid w:val="00156F0E"/>
    <w:rsid w:val="00162CB8"/>
    <w:rsid w:val="00163146"/>
    <w:rsid w:val="001637A8"/>
    <w:rsid w:val="00171C90"/>
    <w:rsid w:val="00171FAF"/>
    <w:rsid w:val="001762CD"/>
    <w:rsid w:val="00186572"/>
    <w:rsid w:val="001A0C0F"/>
    <w:rsid w:val="001A179F"/>
    <w:rsid w:val="001A5BE0"/>
    <w:rsid w:val="001A6781"/>
    <w:rsid w:val="001B295D"/>
    <w:rsid w:val="001C2F45"/>
    <w:rsid w:val="001D0E5E"/>
    <w:rsid w:val="001D4A91"/>
    <w:rsid w:val="001E08DE"/>
    <w:rsid w:val="001E14EC"/>
    <w:rsid w:val="001E3DF5"/>
    <w:rsid w:val="001E468B"/>
    <w:rsid w:val="001E5264"/>
    <w:rsid w:val="001E744D"/>
    <w:rsid w:val="001F278A"/>
    <w:rsid w:val="00204608"/>
    <w:rsid w:val="00206EA6"/>
    <w:rsid w:val="0021021A"/>
    <w:rsid w:val="00212814"/>
    <w:rsid w:val="0021355E"/>
    <w:rsid w:val="00213DC3"/>
    <w:rsid w:val="00224B9F"/>
    <w:rsid w:val="002277E9"/>
    <w:rsid w:val="002365AA"/>
    <w:rsid w:val="00237CB1"/>
    <w:rsid w:val="00240587"/>
    <w:rsid w:val="00245358"/>
    <w:rsid w:val="00245F32"/>
    <w:rsid w:val="002470AB"/>
    <w:rsid w:val="002528BA"/>
    <w:rsid w:val="002616CF"/>
    <w:rsid w:val="0026259B"/>
    <w:rsid w:val="00262657"/>
    <w:rsid w:val="00262F01"/>
    <w:rsid w:val="0026555B"/>
    <w:rsid w:val="00265B21"/>
    <w:rsid w:val="00266774"/>
    <w:rsid w:val="00266835"/>
    <w:rsid w:val="0027368D"/>
    <w:rsid w:val="002741D3"/>
    <w:rsid w:val="00276975"/>
    <w:rsid w:val="002824A7"/>
    <w:rsid w:val="0028748F"/>
    <w:rsid w:val="00292776"/>
    <w:rsid w:val="00297140"/>
    <w:rsid w:val="002A7964"/>
    <w:rsid w:val="002B66E3"/>
    <w:rsid w:val="002C0AA9"/>
    <w:rsid w:val="002C169B"/>
    <w:rsid w:val="002C1953"/>
    <w:rsid w:val="002C24A4"/>
    <w:rsid w:val="002C51A5"/>
    <w:rsid w:val="002D031B"/>
    <w:rsid w:val="002D7FAB"/>
    <w:rsid w:val="002E07D0"/>
    <w:rsid w:val="002E135C"/>
    <w:rsid w:val="002E55BE"/>
    <w:rsid w:val="002E6030"/>
    <w:rsid w:val="002E6054"/>
    <w:rsid w:val="002F1E24"/>
    <w:rsid w:val="002F62BF"/>
    <w:rsid w:val="002F63A3"/>
    <w:rsid w:val="002F6495"/>
    <w:rsid w:val="0030673C"/>
    <w:rsid w:val="003125C5"/>
    <w:rsid w:val="00316AEA"/>
    <w:rsid w:val="00320552"/>
    <w:rsid w:val="00324168"/>
    <w:rsid w:val="003266A6"/>
    <w:rsid w:val="00327DB2"/>
    <w:rsid w:val="0033318C"/>
    <w:rsid w:val="00335929"/>
    <w:rsid w:val="003362D0"/>
    <w:rsid w:val="003528E6"/>
    <w:rsid w:val="00353495"/>
    <w:rsid w:val="0036103B"/>
    <w:rsid w:val="0038004B"/>
    <w:rsid w:val="00381485"/>
    <w:rsid w:val="003942EC"/>
    <w:rsid w:val="00396DAC"/>
    <w:rsid w:val="003A1B5A"/>
    <w:rsid w:val="003B08C1"/>
    <w:rsid w:val="003B1F63"/>
    <w:rsid w:val="003B39F8"/>
    <w:rsid w:val="003B6DFC"/>
    <w:rsid w:val="003C30AF"/>
    <w:rsid w:val="003C43B0"/>
    <w:rsid w:val="003C4634"/>
    <w:rsid w:val="003C6D42"/>
    <w:rsid w:val="003D1692"/>
    <w:rsid w:val="003D4FB5"/>
    <w:rsid w:val="003D5E61"/>
    <w:rsid w:val="003E3851"/>
    <w:rsid w:val="003F0D20"/>
    <w:rsid w:val="003F37C4"/>
    <w:rsid w:val="003F6B0F"/>
    <w:rsid w:val="003F7810"/>
    <w:rsid w:val="003F7E03"/>
    <w:rsid w:val="00400FB3"/>
    <w:rsid w:val="00412D46"/>
    <w:rsid w:val="004242A3"/>
    <w:rsid w:val="00426286"/>
    <w:rsid w:val="00432AD5"/>
    <w:rsid w:val="00435FB4"/>
    <w:rsid w:val="00440BEB"/>
    <w:rsid w:val="004413D3"/>
    <w:rsid w:val="0045505E"/>
    <w:rsid w:val="00460BB1"/>
    <w:rsid w:val="00462304"/>
    <w:rsid w:val="00473F4D"/>
    <w:rsid w:val="0047633F"/>
    <w:rsid w:val="00481056"/>
    <w:rsid w:val="00483E42"/>
    <w:rsid w:val="0049468E"/>
    <w:rsid w:val="004951B1"/>
    <w:rsid w:val="00495FFF"/>
    <w:rsid w:val="004A4C71"/>
    <w:rsid w:val="004A7553"/>
    <w:rsid w:val="004B16E3"/>
    <w:rsid w:val="004B5654"/>
    <w:rsid w:val="004B5F65"/>
    <w:rsid w:val="004B6267"/>
    <w:rsid w:val="004C070D"/>
    <w:rsid w:val="004C2DF7"/>
    <w:rsid w:val="004D369D"/>
    <w:rsid w:val="004D4F8B"/>
    <w:rsid w:val="004F66B8"/>
    <w:rsid w:val="00500DD0"/>
    <w:rsid w:val="005019DE"/>
    <w:rsid w:val="0050203A"/>
    <w:rsid w:val="0050274A"/>
    <w:rsid w:val="00507A08"/>
    <w:rsid w:val="00510438"/>
    <w:rsid w:val="00510E4A"/>
    <w:rsid w:val="0051714B"/>
    <w:rsid w:val="00517681"/>
    <w:rsid w:val="005227E5"/>
    <w:rsid w:val="0052334C"/>
    <w:rsid w:val="005270F8"/>
    <w:rsid w:val="00533062"/>
    <w:rsid w:val="00533B85"/>
    <w:rsid w:val="00537F2B"/>
    <w:rsid w:val="005468AC"/>
    <w:rsid w:val="00551413"/>
    <w:rsid w:val="005520DE"/>
    <w:rsid w:val="005549BF"/>
    <w:rsid w:val="005563A8"/>
    <w:rsid w:val="00556A6D"/>
    <w:rsid w:val="00561368"/>
    <w:rsid w:val="0056167A"/>
    <w:rsid w:val="00562567"/>
    <w:rsid w:val="00564421"/>
    <w:rsid w:val="0057295F"/>
    <w:rsid w:val="00576F65"/>
    <w:rsid w:val="005778E4"/>
    <w:rsid w:val="00587290"/>
    <w:rsid w:val="005905B5"/>
    <w:rsid w:val="005906B3"/>
    <w:rsid w:val="00590E13"/>
    <w:rsid w:val="005914AB"/>
    <w:rsid w:val="00592A25"/>
    <w:rsid w:val="00593CEF"/>
    <w:rsid w:val="005A7611"/>
    <w:rsid w:val="005C0ADA"/>
    <w:rsid w:val="005D1148"/>
    <w:rsid w:val="005D46E3"/>
    <w:rsid w:val="005D6B84"/>
    <w:rsid w:val="005D72C2"/>
    <w:rsid w:val="005E6965"/>
    <w:rsid w:val="005F0D0F"/>
    <w:rsid w:val="005F55F5"/>
    <w:rsid w:val="005F57F1"/>
    <w:rsid w:val="00600AD6"/>
    <w:rsid w:val="00601E69"/>
    <w:rsid w:val="0060240D"/>
    <w:rsid w:val="0060516B"/>
    <w:rsid w:val="00610465"/>
    <w:rsid w:val="00615488"/>
    <w:rsid w:val="0061741B"/>
    <w:rsid w:val="00617E36"/>
    <w:rsid w:val="006220E8"/>
    <w:rsid w:val="006237A5"/>
    <w:rsid w:val="00623B2C"/>
    <w:rsid w:val="00623C88"/>
    <w:rsid w:val="00626D97"/>
    <w:rsid w:val="00627DA0"/>
    <w:rsid w:val="00634B85"/>
    <w:rsid w:val="006354F8"/>
    <w:rsid w:val="006370DA"/>
    <w:rsid w:val="006372FC"/>
    <w:rsid w:val="00641B6E"/>
    <w:rsid w:val="006600A7"/>
    <w:rsid w:val="006605F5"/>
    <w:rsid w:val="00662053"/>
    <w:rsid w:val="00664DC6"/>
    <w:rsid w:val="0067402B"/>
    <w:rsid w:val="00674433"/>
    <w:rsid w:val="00680B91"/>
    <w:rsid w:val="006828EE"/>
    <w:rsid w:val="00684808"/>
    <w:rsid w:val="00685B73"/>
    <w:rsid w:val="006902EE"/>
    <w:rsid w:val="00691952"/>
    <w:rsid w:val="006945BE"/>
    <w:rsid w:val="0069504B"/>
    <w:rsid w:val="006961C7"/>
    <w:rsid w:val="006A07FE"/>
    <w:rsid w:val="006A2487"/>
    <w:rsid w:val="006A2A6B"/>
    <w:rsid w:val="006A36D3"/>
    <w:rsid w:val="006A43D2"/>
    <w:rsid w:val="006A69D7"/>
    <w:rsid w:val="006A7E9F"/>
    <w:rsid w:val="006B054B"/>
    <w:rsid w:val="006B44BD"/>
    <w:rsid w:val="006B4582"/>
    <w:rsid w:val="006B507F"/>
    <w:rsid w:val="006C26B3"/>
    <w:rsid w:val="006D5957"/>
    <w:rsid w:val="006E042B"/>
    <w:rsid w:val="006E44F0"/>
    <w:rsid w:val="006E6042"/>
    <w:rsid w:val="006F3A06"/>
    <w:rsid w:val="006F3D21"/>
    <w:rsid w:val="0070416A"/>
    <w:rsid w:val="00704F39"/>
    <w:rsid w:val="00705A75"/>
    <w:rsid w:val="00715C65"/>
    <w:rsid w:val="00720E61"/>
    <w:rsid w:val="00721D0A"/>
    <w:rsid w:val="00724CB1"/>
    <w:rsid w:val="007324C5"/>
    <w:rsid w:val="007360F4"/>
    <w:rsid w:val="00742D32"/>
    <w:rsid w:val="007468C1"/>
    <w:rsid w:val="007535A5"/>
    <w:rsid w:val="00753909"/>
    <w:rsid w:val="007558A4"/>
    <w:rsid w:val="00756413"/>
    <w:rsid w:val="00772EED"/>
    <w:rsid w:val="00776069"/>
    <w:rsid w:val="00777343"/>
    <w:rsid w:val="00777A5E"/>
    <w:rsid w:val="007802DA"/>
    <w:rsid w:val="007829BF"/>
    <w:rsid w:val="00782C7A"/>
    <w:rsid w:val="007838C0"/>
    <w:rsid w:val="00786273"/>
    <w:rsid w:val="00786F4B"/>
    <w:rsid w:val="00792D07"/>
    <w:rsid w:val="007A099B"/>
    <w:rsid w:val="007A6E5B"/>
    <w:rsid w:val="007A746A"/>
    <w:rsid w:val="007B1574"/>
    <w:rsid w:val="007B21C9"/>
    <w:rsid w:val="007B562B"/>
    <w:rsid w:val="007B7F6A"/>
    <w:rsid w:val="007C1286"/>
    <w:rsid w:val="007C181E"/>
    <w:rsid w:val="007C361A"/>
    <w:rsid w:val="007C747E"/>
    <w:rsid w:val="007D6FFF"/>
    <w:rsid w:val="007E2049"/>
    <w:rsid w:val="007E3790"/>
    <w:rsid w:val="007F040C"/>
    <w:rsid w:val="007F6D92"/>
    <w:rsid w:val="0080580E"/>
    <w:rsid w:val="0080583E"/>
    <w:rsid w:val="008103C3"/>
    <w:rsid w:val="00810586"/>
    <w:rsid w:val="00810B99"/>
    <w:rsid w:val="00811D27"/>
    <w:rsid w:val="008152A0"/>
    <w:rsid w:val="00817D7B"/>
    <w:rsid w:val="008247C5"/>
    <w:rsid w:val="00824A3B"/>
    <w:rsid w:val="00832444"/>
    <w:rsid w:val="00836B09"/>
    <w:rsid w:val="00837FEE"/>
    <w:rsid w:val="00843978"/>
    <w:rsid w:val="00852E20"/>
    <w:rsid w:val="008538D7"/>
    <w:rsid w:val="0085716B"/>
    <w:rsid w:val="0086343F"/>
    <w:rsid w:val="0086441B"/>
    <w:rsid w:val="008650F3"/>
    <w:rsid w:val="0086700C"/>
    <w:rsid w:val="00875048"/>
    <w:rsid w:val="00875D3C"/>
    <w:rsid w:val="008765A4"/>
    <w:rsid w:val="008774AE"/>
    <w:rsid w:val="00880193"/>
    <w:rsid w:val="00881E26"/>
    <w:rsid w:val="008853D9"/>
    <w:rsid w:val="0089049C"/>
    <w:rsid w:val="00897EC8"/>
    <w:rsid w:val="008A3216"/>
    <w:rsid w:val="008A641D"/>
    <w:rsid w:val="008B34E1"/>
    <w:rsid w:val="008B4329"/>
    <w:rsid w:val="008B5FC0"/>
    <w:rsid w:val="008C7BB8"/>
    <w:rsid w:val="008D37D8"/>
    <w:rsid w:val="008E3912"/>
    <w:rsid w:val="008E530A"/>
    <w:rsid w:val="00910656"/>
    <w:rsid w:val="00912F8E"/>
    <w:rsid w:val="00913697"/>
    <w:rsid w:val="00920DA8"/>
    <w:rsid w:val="009249CD"/>
    <w:rsid w:val="00927A79"/>
    <w:rsid w:val="009325B8"/>
    <w:rsid w:val="009334DF"/>
    <w:rsid w:val="00937D9E"/>
    <w:rsid w:val="00944A8C"/>
    <w:rsid w:val="00944C09"/>
    <w:rsid w:val="009573EE"/>
    <w:rsid w:val="00957E21"/>
    <w:rsid w:val="009614EF"/>
    <w:rsid w:val="00961C1C"/>
    <w:rsid w:val="009626D1"/>
    <w:rsid w:val="00976CC5"/>
    <w:rsid w:val="00981BFA"/>
    <w:rsid w:val="00981CA6"/>
    <w:rsid w:val="00982F3F"/>
    <w:rsid w:val="00983215"/>
    <w:rsid w:val="0099193F"/>
    <w:rsid w:val="0099420C"/>
    <w:rsid w:val="009A14D6"/>
    <w:rsid w:val="009B0168"/>
    <w:rsid w:val="009B49A0"/>
    <w:rsid w:val="009C0305"/>
    <w:rsid w:val="009C222F"/>
    <w:rsid w:val="009C66EE"/>
    <w:rsid w:val="009C6D73"/>
    <w:rsid w:val="009D46E4"/>
    <w:rsid w:val="009E3020"/>
    <w:rsid w:val="009E3C1D"/>
    <w:rsid w:val="009F001B"/>
    <w:rsid w:val="009F2BDA"/>
    <w:rsid w:val="009F5C62"/>
    <w:rsid w:val="00A02BF5"/>
    <w:rsid w:val="00A05505"/>
    <w:rsid w:val="00A06411"/>
    <w:rsid w:val="00A06A7D"/>
    <w:rsid w:val="00A21521"/>
    <w:rsid w:val="00A311F9"/>
    <w:rsid w:val="00A33343"/>
    <w:rsid w:val="00A40259"/>
    <w:rsid w:val="00A4100B"/>
    <w:rsid w:val="00A4220E"/>
    <w:rsid w:val="00A42753"/>
    <w:rsid w:val="00A45E79"/>
    <w:rsid w:val="00A46824"/>
    <w:rsid w:val="00A47DF4"/>
    <w:rsid w:val="00A51E37"/>
    <w:rsid w:val="00A523F3"/>
    <w:rsid w:val="00A5546D"/>
    <w:rsid w:val="00A6314E"/>
    <w:rsid w:val="00A73A4C"/>
    <w:rsid w:val="00A75554"/>
    <w:rsid w:val="00A777DC"/>
    <w:rsid w:val="00A85330"/>
    <w:rsid w:val="00A85B46"/>
    <w:rsid w:val="00A87670"/>
    <w:rsid w:val="00A90DF5"/>
    <w:rsid w:val="00A93D32"/>
    <w:rsid w:val="00A957FF"/>
    <w:rsid w:val="00AA0C99"/>
    <w:rsid w:val="00AA5CCC"/>
    <w:rsid w:val="00AA7CC2"/>
    <w:rsid w:val="00AB138A"/>
    <w:rsid w:val="00AD19A3"/>
    <w:rsid w:val="00AD27E6"/>
    <w:rsid w:val="00AD3479"/>
    <w:rsid w:val="00AD75B2"/>
    <w:rsid w:val="00AE0789"/>
    <w:rsid w:val="00AE1737"/>
    <w:rsid w:val="00AE29D1"/>
    <w:rsid w:val="00AE3C57"/>
    <w:rsid w:val="00AE5604"/>
    <w:rsid w:val="00AF2E79"/>
    <w:rsid w:val="00B01C43"/>
    <w:rsid w:val="00B03F77"/>
    <w:rsid w:val="00B05F69"/>
    <w:rsid w:val="00B146F4"/>
    <w:rsid w:val="00B149E3"/>
    <w:rsid w:val="00B1577C"/>
    <w:rsid w:val="00B16B22"/>
    <w:rsid w:val="00B174DF"/>
    <w:rsid w:val="00B20EA9"/>
    <w:rsid w:val="00B23434"/>
    <w:rsid w:val="00B319A9"/>
    <w:rsid w:val="00B32056"/>
    <w:rsid w:val="00B36057"/>
    <w:rsid w:val="00B36A66"/>
    <w:rsid w:val="00B402ED"/>
    <w:rsid w:val="00B425E7"/>
    <w:rsid w:val="00B44074"/>
    <w:rsid w:val="00B454BA"/>
    <w:rsid w:val="00B551E4"/>
    <w:rsid w:val="00B5736D"/>
    <w:rsid w:val="00B62B47"/>
    <w:rsid w:val="00B74E84"/>
    <w:rsid w:val="00B7630F"/>
    <w:rsid w:val="00B8011E"/>
    <w:rsid w:val="00B8258A"/>
    <w:rsid w:val="00B830D1"/>
    <w:rsid w:val="00B87D03"/>
    <w:rsid w:val="00B9197C"/>
    <w:rsid w:val="00B92336"/>
    <w:rsid w:val="00B9454F"/>
    <w:rsid w:val="00BB314F"/>
    <w:rsid w:val="00BC170E"/>
    <w:rsid w:val="00BC1F78"/>
    <w:rsid w:val="00BC5E98"/>
    <w:rsid w:val="00BD224F"/>
    <w:rsid w:val="00BD4E66"/>
    <w:rsid w:val="00BD741A"/>
    <w:rsid w:val="00BE76B5"/>
    <w:rsid w:val="00BE779F"/>
    <w:rsid w:val="00BF1F15"/>
    <w:rsid w:val="00BF2768"/>
    <w:rsid w:val="00BF2DAE"/>
    <w:rsid w:val="00BF783A"/>
    <w:rsid w:val="00C111E8"/>
    <w:rsid w:val="00C12935"/>
    <w:rsid w:val="00C21DEA"/>
    <w:rsid w:val="00C23591"/>
    <w:rsid w:val="00C2409C"/>
    <w:rsid w:val="00C26B39"/>
    <w:rsid w:val="00C27315"/>
    <w:rsid w:val="00C31256"/>
    <w:rsid w:val="00C3195E"/>
    <w:rsid w:val="00C35C77"/>
    <w:rsid w:val="00C46B88"/>
    <w:rsid w:val="00C52249"/>
    <w:rsid w:val="00C708E2"/>
    <w:rsid w:val="00C71658"/>
    <w:rsid w:val="00C71E0B"/>
    <w:rsid w:val="00C750CA"/>
    <w:rsid w:val="00C82FF0"/>
    <w:rsid w:val="00C87851"/>
    <w:rsid w:val="00C90FBD"/>
    <w:rsid w:val="00C93B4F"/>
    <w:rsid w:val="00CA1672"/>
    <w:rsid w:val="00CB33C0"/>
    <w:rsid w:val="00CB45CB"/>
    <w:rsid w:val="00CD11A0"/>
    <w:rsid w:val="00CD23DB"/>
    <w:rsid w:val="00CD5D00"/>
    <w:rsid w:val="00CE0B38"/>
    <w:rsid w:val="00CE1407"/>
    <w:rsid w:val="00CE1BC4"/>
    <w:rsid w:val="00CE1D3D"/>
    <w:rsid w:val="00CE6CDC"/>
    <w:rsid w:val="00CF1ECC"/>
    <w:rsid w:val="00CF295D"/>
    <w:rsid w:val="00D0126C"/>
    <w:rsid w:val="00D16898"/>
    <w:rsid w:val="00D17A49"/>
    <w:rsid w:val="00D229AA"/>
    <w:rsid w:val="00D26A67"/>
    <w:rsid w:val="00D328AE"/>
    <w:rsid w:val="00D37AFC"/>
    <w:rsid w:val="00D40196"/>
    <w:rsid w:val="00D41323"/>
    <w:rsid w:val="00D42825"/>
    <w:rsid w:val="00D5181D"/>
    <w:rsid w:val="00D54466"/>
    <w:rsid w:val="00D54469"/>
    <w:rsid w:val="00D57674"/>
    <w:rsid w:val="00D60BF6"/>
    <w:rsid w:val="00D61FAB"/>
    <w:rsid w:val="00D64F33"/>
    <w:rsid w:val="00D7073F"/>
    <w:rsid w:val="00D718D2"/>
    <w:rsid w:val="00D74EEE"/>
    <w:rsid w:val="00D82A1F"/>
    <w:rsid w:val="00D95140"/>
    <w:rsid w:val="00DA2D8E"/>
    <w:rsid w:val="00DB0C3C"/>
    <w:rsid w:val="00DB3FA8"/>
    <w:rsid w:val="00DB4926"/>
    <w:rsid w:val="00DB4A64"/>
    <w:rsid w:val="00DB5B73"/>
    <w:rsid w:val="00DC6725"/>
    <w:rsid w:val="00DD4932"/>
    <w:rsid w:val="00DD5CA0"/>
    <w:rsid w:val="00DD6DC7"/>
    <w:rsid w:val="00DE0BFC"/>
    <w:rsid w:val="00DE4F79"/>
    <w:rsid w:val="00DE556E"/>
    <w:rsid w:val="00E01CB9"/>
    <w:rsid w:val="00E03063"/>
    <w:rsid w:val="00E05708"/>
    <w:rsid w:val="00E05A61"/>
    <w:rsid w:val="00E10BC8"/>
    <w:rsid w:val="00E1460B"/>
    <w:rsid w:val="00E14E12"/>
    <w:rsid w:val="00E159E0"/>
    <w:rsid w:val="00E238E8"/>
    <w:rsid w:val="00E26BFB"/>
    <w:rsid w:val="00E30A8E"/>
    <w:rsid w:val="00E31EAA"/>
    <w:rsid w:val="00E330DD"/>
    <w:rsid w:val="00E3454B"/>
    <w:rsid w:val="00E3688C"/>
    <w:rsid w:val="00E45372"/>
    <w:rsid w:val="00E47D88"/>
    <w:rsid w:val="00E509E3"/>
    <w:rsid w:val="00E57536"/>
    <w:rsid w:val="00E62000"/>
    <w:rsid w:val="00E64C79"/>
    <w:rsid w:val="00E75327"/>
    <w:rsid w:val="00E85BD6"/>
    <w:rsid w:val="00E97EE7"/>
    <w:rsid w:val="00EA2915"/>
    <w:rsid w:val="00EA3A2D"/>
    <w:rsid w:val="00EA511A"/>
    <w:rsid w:val="00EA52AF"/>
    <w:rsid w:val="00EA677A"/>
    <w:rsid w:val="00EA6843"/>
    <w:rsid w:val="00EA75BD"/>
    <w:rsid w:val="00EB2FDC"/>
    <w:rsid w:val="00ED3020"/>
    <w:rsid w:val="00ED5E00"/>
    <w:rsid w:val="00EF5D14"/>
    <w:rsid w:val="00EF6D44"/>
    <w:rsid w:val="00F07BD0"/>
    <w:rsid w:val="00F07E4A"/>
    <w:rsid w:val="00F14550"/>
    <w:rsid w:val="00F14F54"/>
    <w:rsid w:val="00F2424F"/>
    <w:rsid w:val="00F340EE"/>
    <w:rsid w:val="00F45904"/>
    <w:rsid w:val="00F5059D"/>
    <w:rsid w:val="00F526CB"/>
    <w:rsid w:val="00F73874"/>
    <w:rsid w:val="00F76245"/>
    <w:rsid w:val="00F76E58"/>
    <w:rsid w:val="00F80D74"/>
    <w:rsid w:val="00F823EA"/>
    <w:rsid w:val="00F82BD6"/>
    <w:rsid w:val="00F846CE"/>
    <w:rsid w:val="00F85E4E"/>
    <w:rsid w:val="00FB0C32"/>
    <w:rsid w:val="00FB27C6"/>
    <w:rsid w:val="00FB7207"/>
    <w:rsid w:val="00FC0988"/>
    <w:rsid w:val="00FC4A07"/>
    <w:rsid w:val="00FC7E93"/>
    <w:rsid w:val="00FD04A9"/>
    <w:rsid w:val="00FD57D3"/>
    <w:rsid w:val="00FE36A4"/>
    <w:rsid w:val="00FE4286"/>
    <w:rsid w:val="00FF41E3"/>
    <w:rsid w:val="00FF424B"/>
    <w:rsid w:val="00FF4C79"/>
    <w:rsid w:val="00FF74B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E1BC4"/>
    <w:pPr>
      <w:spacing w:before="120" w:after="120"/>
      <w:jc w:val="both"/>
    </w:pPr>
    <w:rPr>
      <w:sz w:val="24"/>
    </w:rPr>
  </w:style>
  <w:style w:type="paragraph" w:styleId="Heading1">
    <w:name w:val="heading 1"/>
    <w:basedOn w:val="Normal"/>
    <w:next w:val="Text1"/>
    <w:link w:val="Heading1Char"/>
    <w:uiPriority w:val="99"/>
    <w:qFormat/>
    <w:pPr>
      <w:keepNext/>
      <w:numPr>
        <w:numId w:val="32"/>
      </w:numPr>
      <w:spacing w:before="360"/>
      <w:outlineLvl w:val="0"/>
    </w:pPr>
    <w:rPr>
      <w:b/>
      <w:bCs/>
      <w:smallCaps/>
      <w:szCs w:val="28"/>
    </w:rPr>
  </w:style>
  <w:style w:type="paragraph" w:styleId="Heading2">
    <w:name w:val="heading 2"/>
    <w:basedOn w:val="Normal"/>
    <w:next w:val="Text1"/>
    <w:link w:val="Heading2Char"/>
    <w:uiPriority w:val="99"/>
    <w:qFormat/>
    <w:pPr>
      <w:keepNext/>
      <w:numPr>
        <w:ilvl w:val="1"/>
        <w:numId w:val="32"/>
      </w:numPr>
      <w:outlineLvl w:val="1"/>
    </w:pPr>
    <w:rPr>
      <w:b/>
      <w:bCs/>
      <w:szCs w:val="26"/>
    </w:rPr>
  </w:style>
  <w:style w:type="paragraph" w:styleId="Heading3">
    <w:name w:val="heading 3"/>
    <w:basedOn w:val="Normal"/>
    <w:next w:val="Text1"/>
    <w:link w:val="Heading3Char"/>
    <w:uiPriority w:val="99"/>
    <w:qFormat/>
    <w:pPr>
      <w:keepNext/>
      <w:numPr>
        <w:ilvl w:val="2"/>
        <w:numId w:val="32"/>
      </w:numPr>
      <w:outlineLvl w:val="2"/>
    </w:pPr>
    <w:rPr>
      <w:bCs/>
      <w:i/>
    </w:rPr>
  </w:style>
  <w:style w:type="paragraph" w:styleId="Heading4">
    <w:name w:val="heading 4"/>
    <w:basedOn w:val="Normal"/>
    <w:next w:val="Text1"/>
    <w:link w:val="Heading4Char"/>
    <w:uiPriority w:val="99"/>
    <w:qFormat/>
    <w:pPr>
      <w:keepNext/>
      <w:numPr>
        <w:ilvl w:val="3"/>
        <w:numId w:val="32"/>
      </w:numPr>
      <w:outlineLvl w:val="3"/>
    </w:pPr>
    <w:rPr>
      <w:bCs/>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b/>
      <w:bCs/>
      <w:smallCaps/>
      <w:sz w:val="24"/>
      <w:szCs w:val="28"/>
    </w:rPr>
  </w:style>
  <w:style w:type="character" w:customStyle="1" w:styleId="Heading2Char">
    <w:name w:val="Heading 2 Char"/>
    <w:basedOn w:val="DefaultParagraphFont"/>
    <w:link w:val="Heading2"/>
    <w:uiPriority w:val="99"/>
    <w:locked/>
    <w:rPr>
      <w:b/>
      <w:bCs/>
      <w:sz w:val="24"/>
      <w:szCs w:val="26"/>
    </w:rPr>
  </w:style>
  <w:style w:type="character" w:customStyle="1" w:styleId="Heading3Char">
    <w:name w:val="Heading 3 Char"/>
    <w:basedOn w:val="DefaultParagraphFont"/>
    <w:link w:val="Heading3"/>
    <w:uiPriority w:val="99"/>
    <w:locked/>
    <w:rPr>
      <w:bCs/>
      <w:i/>
      <w:sz w:val="24"/>
    </w:rPr>
  </w:style>
  <w:style w:type="character" w:customStyle="1" w:styleId="Heading4Char">
    <w:name w:val="Heading 4 Char"/>
    <w:basedOn w:val="DefaultParagraphFont"/>
    <w:link w:val="Heading4"/>
    <w:uiPriority w:val="99"/>
    <w:locked/>
    <w:rPr>
      <w:bCs/>
      <w:iCs/>
      <w:sz w:val="24"/>
    </w:rPr>
  </w:style>
  <w:style w:type="paragraph" w:styleId="ListBullet">
    <w:name w:val="List Bullet"/>
    <w:basedOn w:val="Normal"/>
    <w:uiPriority w:val="99"/>
    <w:rsid w:val="002F6495"/>
    <w:pPr>
      <w:numPr>
        <w:numId w:val="9"/>
      </w:numPr>
    </w:pPr>
  </w:style>
  <w:style w:type="paragraph" w:styleId="ListBullet2">
    <w:name w:val="List Bullet 2"/>
    <w:basedOn w:val="Normal"/>
    <w:uiPriority w:val="99"/>
    <w:rsid w:val="00CB45CB"/>
    <w:pPr>
      <w:numPr>
        <w:numId w:val="10"/>
      </w:numPr>
      <w:contextualSpacing/>
    </w:pPr>
  </w:style>
  <w:style w:type="paragraph" w:styleId="ListBullet3">
    <w:name w:val="List Bullet 3"/>
    <w:basedOn w:val="Normal"/>
    <w:uiPriority w:val="99"/>
    <w:rsid w:val="00CB45CB"/>
    <w:pPr>
      <w:numPr>
        <w:numId w:val="11"/>
      </w:numPr>
      <w:contextualSpacing/>
    </w:pPr>
  </w:style>
  <w:style w:type="paragraph" w:styleId="ListBullet4">
    <w:name w:val="List Bullet 4"/>
    <w:basedOn w:val="Normal"/>
    <w:uiPriority w:val="99"/>
    <w:rsid w:val="00CB45CB"/>
    <w:pPr>
      <w:numPr>
        <w:numId w:val="12"/>
      </w:numPr>
      <w:contextualSpacing/>
    </w:pPr>
  </w:style>
  <w:style w:type="paragraph" w:styleId="Caption">
    <w:name w:val="caption"/>
    <w:basedOn w:val="Normal"/>
    <w:next w:val="Normal"/>
    <w:uiPriority w:val="99"/>
    <w:qFormat/>
    <w:rsid w:val="00E3454B"/>
    <w:rPr>
      <w:b/>
      <w:bCs/>
      <w:sz w:val="20"/>
    </w:rPr>
  </w:style>
  <w:style w:type="paragraph" w:styleId="TableofFigures">
    <w:name w:val="table of figures"/>
    <w:basedOn w:val="Normal"/>
    <w:next w:val="Normal"/>
    <w:uiPriority w:val="99"/>
    <w:rsid w:val="00E3454B"/>
  </w:style>
  <w:style w:type="paragraph" w:styleId="ListNumber">
    <w:name w:val="List Number"/>
    <w:basedOn w:val="Normal"/>
    <w:uiPriority w:val="99"/>
    <w:rsid w:val="00E3454B"/>
    <w:pPr>
      <w:numPr>
        <w:numId w:val="13"/>
      </w:numPr>
      <w:contextualSpacing/>
    </w:pPr>
  </w:style>
  <w:style w:type="paragraph" w:styleId="ListNumber2">
    <w:name w:val="List Number 2"/>
    <w:basedOn w:val="Normal"/>
    <w:uiPriority w:val="99"/>
    <w:rsid w:val="00E3454B"/>
    <w:pPr>
      <w:numPr>
        <w:numId w:val="14"/>
      </w:numPr>
      <w:contextualSpacing/>
    </w:pPr>
  </w:style>
  <w:style w:type="paragraph" w:styleId="ListNumber3">
    <w:name w:val="List Number 3"/>
    <w:basedOn w:val="Normal"/>
    <w:uiPriority w:val="99"/>
    <w:rsid w:val="00E3454B"/>
    <w:pPr>
      <w:numPr>
        <w:numId w:val="15"/>
      </w:numPr>
      <w:contextualSpacing/>
    </w:pPr>
  </w:style>
  <w:style w:type="paragraph" w:styleId="ListNumber4">
    <w:name w:val="List Number 4"/>
    <w:basedOn w:val="Normal"/>
    <w:uiPriority w:val="99"/>
    <w:rsid w:val="00E3454B"/>
    <w:pPr>
      <w:numPr>
        <w:numId w:val="16"/>
      </w:numPr>
      <w:contextualSpacing/>
    </w:pPr>
  </w:style>
  <w:style w:type="paragraph" w:styleId="BalloonText">
    <w:name w:val="Balloon Text"/>
    <w:basedOn w:val="Normal"/>
    <w:link w:val="BalloonTextChar"/>
    <w:uiPriority w:val="99"/>
    <w:rsid w:val="0051714B"/>
    <w:pPr>
      <w:spacing w:before="0" w:after="0"/>
    </w:pPr>
    <w:rPr>
      <w:rFonts w:ascii="Tahoma" w:hAnsi="Tahoma"/>
      <w:sz w:val="16"/>
      <w:szCs w:val="16"/>
    </w:rPr>
  </w:style>
  <w:style w:type="character" w:customStyle="1" w:styleId="BalloonTextChar">
    <w:name w:val="Balloon Text Char"/>
    <w:basedOn w:val="DefaultParagraphFont"/>
    <w:link w:val="BalloonText"/>
    <w:uiPriority w:val="99"/>
    <w:locked/>
    <w:rsid w:val="0051714B"/>
    <w:rPr>
      <w:rFonts w:ascii="Tahoma" w:hAnsi="Tahoma"/>
      <w:sz w:val="16"/>
    </w:rPr>
  </w:style>
  <w:style w:type="character" w:styleId="CommentReference">
    <w:name w:val="annotation reference"/>
    <w:basedOn w:val="DefaultParagraphFont"/>
    <w:uiPriority w:val="99"/>
    <w:rsid w:val="00E159E0"/>
    <w:rPr>
      <w:rFonts w:cs="Times New Roman"/>
      <w:sz w:val="16"/>
    </w:rPr>
  </w:style>
  <w:style w:type="paragraph" w:styleId="CommentText">
    <w:name w:val="annotation text"/>
    <w:basedOn w:val="Normal"/>
    <w:link w:val="CommentTextChar"/>
    <w:uiPriority w:val="99"/>
    <w:rsid w:val="00E159E0"/>
    <w:rPr>
      <w:sz w:val="20"/>
    </w:rPr>
  </w:style>
  <w:style w:type="character" w:customStyle="1" w:styleId="CommentTextChar">
    <w:name w:val="Comment Text Char"/>
    <w:basedOn w:val="DefaultParagraphFont"/>
    <w:link w:val="CommentText"/>
    <w:uiPriority w:val="99"/>
    <w:locked/>
    <w:rsid w:val="00E159E0"/>
    <w:rPr>
      <w:rFonts w:cs="Times New Roman"/>
    </w:rPr>
  </w:style>
  <w:style w:type="paragraph" w:styleId="CommentSubject">
    <w:name w:val="annotation subject"/>
    <w:basedOn w:val="CommentText"/>
    <w:next w:val="CommentText"/>
    <w:link w:val="CommentSubjectChar"/>
    <w:uiPriority w:val="99"/>
    <w:rsid w:val="00E159E0"/>
    <w:rPr>
      <w:b/>
      <w:bCs/>
      <w:szCs w:val="20"/>
    </w:rPr>
  </w:style>
  <w:style w:type="character" w:customStyle="1" w:styleId="CommentSubjectChar">
    <w:name w:val="Comment Subject Char"/>
    <w:basedOn w:val="CommentTextChar"/>
    <w:link w:val="CommentSubject"/>
    <w:uiPriority w:val="99"/>
    <w:locked/>
    <w:rsid w:val="00E159E0"/>
    <w:rPr>
      <w:b/>
    </w:rPr>
  </w:style>
  <w:style w:type="character" w:styleId="Hyperlink">
    <w:name w:val="Hyperlink"/>
    <w:basedOn w:val="DefaultParagraphFont"/>
    <w:uiPriority w:val="99"/>
    <w:rsid w:val="00E159E0"/>
    <w:rPr>
      <w:rFonts w:cs="Times New Roman"/>
      <w:color w:val="0000FF"/>
      <w:u w:val="single"/>
    </w:rPr>
  </w:style>
  <w:style w:type="paragraph" w:styleId="Revision">
    <w:name w:val="Revision"/>
    <w:hidden/>
    <w:uiPriority w:val="99"/>
    <w:semiHidden/>
    <w:rsid w:val="00D41323"/>
    <w:pPr>
      <w:spacing w:after="200" w:line="276" w:lineRule="auto"/>
    </w:pPr>
    <w:rPr>
      <w:sz w:val="24"/>
    </w:rPr>
  </w:style>
  <w:style w:type="character" w:styleId="FollowedHyperlink">
    <w:name w:val="FollowedHyperlink"/>
    <w:basedOn w:val="DefaultParagraphFont"/>
    <w:uiPriority w:val="99"/>
    <w:rsid w:val="001E08DE"/>
    <w:rPr>
      <w:rFonts w:cs="Times New Roman"/>
      <w:color w:val="800080"/>
      <w:u w:val="single"/>
    </w:rPr>
  </w:style>
  <w:style w:type="paragraph" w:customStyle="1" w:styleId="Default">
    <w:name w:val="Default"/>
    <w:uiPriority w:val="99"/>
    <w:rsid w:val="00162CB8"/>
    <w:pPr>
      <w:autoSpaceDE w:val="0"/>
      <w:autoSpaceDN w:val="0"/>
      <w:adjustRightInd w:val="0"/>
      <w:spacing w:after="200" w:line="276" w:lineRule="auto"/>
    </w:pPr>
    <w:rPr>
      <w:rFonts w:ascii="EUAlbertina" w:hAnsi="EUAlbertina" w:cs="EUAlbertina"/>
      <w:color w:val="000000"/>
      <w:sz w:val="24"/>
      <w:szCs w:val="24"/>
    </w:rPr>
  </w:style>
  <w:style w:type="paragraph" w:styleId="Header">
    <w:name w:val="header"/>
    <w:basedOn w:val="Normal"/>
    <w:link w:val="HeaderChar"/>
    <w:uiPriority w:val="99"/>
    <w:pPr>
      <w:tabs>
        <w:tab w:val="center" w:pos="4535"/>
        <w:tab w:val="right" w:pos="9071"/>
      </w:tabs>
      <w:spacing w:before="0"/>
    </w:pPr>
  </w:style>
  <w:style w:type="character" w:customStyle="1" w:styleId="HeaderChar">
    <w:name w:val="Header Char"/>
    <w:basedOn w:val="DefaultParagraphFont"/>
    <w:link w:val="Header"/>
    <w:uiPriority w:val="99"/>
    <w:locked/>
    <w:rPr>
      <w:rFonts w:ascii="Times New Roman" w:hAnsi="Times New Roman" w:cs="Times New Roman"/>
      <w:sz w:val="24"/>
      <w:shd w:val="clear" w:color="auto" w:fill="auto"/>
      <w:lang w:val="en-GB"/>
    </w:rPr>
  </w:style>
  <w:style w:type="paragraph" w:styleId="Footer">
    <w:name w:val="footer"/>
    <w:basedOn w:val="Normal"/>
    <w:link w:val="FooterChar"/>
    <w:uiPriority w:val="99"/>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locked/>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shd w:val="clear" w:color="auto" w:fill="auto"/>
      <w:lang w:val="en-GB"/>
    </w:rPr>
  </w:style>
  <w:style w:type="paragraph" w:styleId="TOCHeading">
    <w:name w:val="TOC Heading"/>
    <w:basedOn w:val="Normal"/>
    <w:next w:val="Normal"/>
    <w:uiPriority w:val="99"/>
    <w:qFormat/>
    <w:pPr>
      <w:spacing w:after="240"/>
      <w:jc w:val="center"/>
    </w:pPr>
    <w:rPr>
      <w:b/>
      <w:sz w:val="28"/>
    </w:rPr>
  </w:style>
  <w:style w:type="paragraph" w:styleId="TOC1">
    <w:name w:val="toc 1"/>
    <w:basedOn w:val="Normal"/>
    <w:next w:val="Normal"/>
    <w:uiPriority w:val="99"/>
    <w:semiHidden/>
    <w:pPr>
      <w:tabs>
        <w:tab w:val="right" w:leader="dot" w:pos="9071"/>
      </w:tabs>
      <w:spacing w:before="60"/>
      <w:ind w:left="850" w:hanging="850"/>
      <w:jc w:val="left"/>
    </w:pPr>
  </w:style>
  <w:style w:type="paragraph" w:styleId="TOC2">
    <w:name w:val="toc 2"/>
    <w:basedOn w:val="Normal"/>
    <w:next w:val="Normal"/>
    <w:uiPriority w:val="99"/>
    <w:semiHidden/>
    <w:pPr>
      <w:tabs>
        <w:tab w:val="right" w:leader="dot" w:pos="9071"/>
      </w:tabs>
      <w:spacing w:before="60"/>
      <w:ind w:left="850" w:hanging="850"/>
      <w:jc w:val="left"/>
    </w:pPr>
  </w:style>
  <w:style w:type="paragraph" w:styleId="TOC3">
    <w:name w:val="toc 3"/>
    <w:basedOn w:val="Normal"/>
    <w:next w:val="Normal"/>
    <w:uiPriority w:val="99"/>
    <w:semiHidden/>
    <w:pPr>
      <w:tabs>
        <w:tab w:val="right" w:leader="dot" w:pos="9071"/>
      </w:tabs>
      <w:spacing w:before="60"/>
      <w:ind w:left="850" w:hanging="850"/>
      <w:jc w:val="left"/>
    </w:pPr>
  </w:style>
  <w:style w:type="paragraph" w:styleId="TOC4">
    <w:name w:val="toc 4"/>
    <w:basedOn w:val="Normal"/>
    <w:next w:val="Normal"/>
    <w:uiPriority w:val="99"/>
    <w:semiHidden/>
    <w:pPr>
      <w:tabs>
        <w:tab w:val="right" w:leader="dot" w:pos="9071"/>
      </w:tabs>
      <w:spacing w:before="60"/>
      <w:ind w:left="850" w:hanging="850"/>
      <w:jc w:val="left"/>
    </w:pPr>
  </w:style>
  <w:style w:type="paragraph" w:styleId="TOC5">
    <w:name w:val="toc 5"/>
    <w:basedOn w:val="Normal"/>
    <w:next w:val="Normal"/>
    <w:uiPriority w:val="99"/>
    <w:semiHidden/>
    <w:pPr>
      <w:tabs>
        <w:tab w:val="right" w:leader="dot" w:pos="9071"/>
      </w:tabs>
      <w:spacing w:before="300"/>
      <w:jc w:val="left"/>
    </w:pPr>
  </w:style>
  <w:style w:type="paragraph" w:styleId="TOC6">
    <w:name w:val="toc 6"/>
    <w:basedOn w:val="Normal"/>
    <w:next w:val="Normal"/>
    <w:uiPriority w:val="99"/>
    <w:semiHidden/>
    <w:pPr>
      <w:tabs>
        <w:tab w:val="right" w:leader="dot" w:pos="9071"/>
      </w:tabs>
      <w:spacing w:before="240"/>
      <w:jc w:val="left"/>
    </w:pPr>
  </w:style>
  <w:style w:type="paragraph" w:styleId="TOC7">
    <w:name w:val="toc 7"/>
    <w:basedOn w:val="Normal"/>
    <w:next w:val="Normal"/>
    <w:uiPriority w:val="99"/>
    <w:semiHidden/>
    <w:pPr>
      <w:tabs>
        <w:tab w:val="right" w:leader="dot" w:pos="9071"/>
      </w:tabs>
      <w:spacing w:before="180"/>
      <w:jc w:val="left"/>
    </w:pPr>
  </w:style>
  <w:style w:type="paragraph" w:styleId="TOC8">
    <w:name w:val="toc 8"/>
    <w:basedOn w:val="Normal"/>
    <w:next w:val="Normal"/>
    <w:uiPriority w:val="99"/>
    <w:semiHidden/>
    <w:pPr>
      <w:tabs>
        <w:tab w:val="right" w:leader="dot" w:pos="9071"/>
      </w:tabs>
      <w:jc w:val="left"/>
    </w:pPr>
  </w:style>
  <w:style w:type="paragraph" w:styleId="TOC9">
    <w:name w:val="toc 9"/>
    <w:basedOn w:val="Normal"/>
    <w:next w:val="Normal"/>
    <w:uiPriority w:val="99"/>
    <w:semiHidden/>
    <w:pPr>
      <w:tabs>
        <w:tab w:val="right" w:leader="dot" w:pos="9071"/>
      </w:tabs>
    </w:pPr>
  </w:style>
  <w:style w:type="paragraph" w:customStyle="1" w:styleId="HeaderLandscape">
    <w:name w:val="HeaderLandscape"/>
    <w:basedOn w:val="Normal"/>
    <w:uiPriority w:val="99"/>
    <w:pPr>
      <w:tabs>
        <w:tab w:val="center" w:pos="7285"/>
        <w:tab w:val="right" w:pos="14003"/>
      </w:tabs>
      <w:spacing w:before="0"/>
    </w:pPr>
  </w:style>
  <w:style w:type="paragraph" w:customStyle="1" w:styleId="FooterLandscape">
    <w:name w:val="FooterLandscape"/>
    <w:basedOn w:val="Normal"/>
    <w:uiPriority w:val="99"/>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rPr>
      <w:rFonts w:cs="Times New Roman"/>
      <w:shd w:val="clear" w:color="auto" w:fill="auto"/>
      <w:vertAlign w:val="superscript"/>
    </w:rPr>
  </w:style>
  <w:style w:type="paragraph" w:customStyle="1" w:styleId="Text1">
    <w:name w:val="Text 1"/>
    <w:basedOn w:val="Normal"/>
    <w:uiPriority w:val="99"/>
    <w:pPr>
      <w:ind w:left="850"/>
    </w:pPr>
  </w:style>
  <w:style w:type="paragraph" w:customStyle="1" w:styleId="Text2">
    <w:name w:val="Text 2"/>
    <w:basedOn w:val="Normal"/>
    <w:uiPriority w:val="99"/>
    <w:pPr>
      <w:ind w:left="1417"/>
    </w:pPr>
  </w:style>
  <w:style w:type="paragraph" w:customStyle="1" w:styleId="Text3">
    <w:name w:val="Text 3"/>
    <w:basedOn w:val="Normal"/>
    <w:uiPriority w:val="99"/>
    <w:pPr>
      <w:ind w:left="1984"/>
    </w:pPr>
  </w:style>
  <w:style w:type="paragraph" w:customStyle="1" w:styleId="Text4">
    <w:name w:val="Text 4"/>
    <w:basedOn w:val="Normal"/>
    <w:uiPriority w:val="99"/>
    <w:pPr>
      <w:ind w:left="2551"/>
    </w:pPr>
  </w:style>
  <w:style w:type="paragraph" w:customStyle="1" w:styleId="NormalCentered">
    <w:name w:val="Normal Centered"/>
    <w:basedOn w:val="Normal"/>
    <w:uiPriority w:val="99"/>
    <w:pPr>
      <w:jc w:val="center"/>
    </w:pPr>
  </w:style>
  <w:style w:type="paragraph" w:customStyle="1" w:styleId="NormalLeft">
    <w:name w:val="Normal Left"/>
    <w:basedOn w:val="Normal"/>
    <w:uiPriority w:val="99"/>
    <w:pPr>
      <w:jc w:val="left"/>
    </w:pPr>
  </w:style>
  <w:style w:type="paragraph" w:customStyle="1" w:styleId="NormalRight">
    <w:name w:val="Normal Right"/>
    <w:basedOn w:val="Normal"/>
    <w:uiPriority w:val="99"/>
    <w:pPr>
      <w:jc w:val="right"/>
    </w:pPr>
  </w:style>
  <w:style w:type="paragraph" w:customStyle="1" w:styleId="QuotedText">
    <w:name w:val="Quoted Text"/>
    <w:basedOn w:val="Normal"/>
    <w:uiPriority w:val="99"/>
    <w:pPr>
      <w:ind w:left="1417"/>
    </w:pPr>
  </w:style>
  <w:style w:type="paragraph" w:customStyle="1" w:styleId="Point0">
    <w:name w:val="Point 0"/>
    <w:basedOn w:val="Normal"/>
    <w:uiPriority w:val="99"/>
    <w:pPr>
      <w:ind w:left="850" w:hanging="850"/>
    </w:pPr>
  </w:style>
  <w:style w:type="paragraph" w:customStyle="1" w:styleId="Point1">
    <w:name w:val="Point 1"/>
    <w:basedOn w:val="Normal"/>
    <w:uiPriority w:val="99"/>
    <w:pPr>
      <w:ind w:left="1417" w:hanging="567"/>
    </w:pPr>
  </w:style>
  <w:style w:type="paragraph" w:customStyle="1" w:styleId="Point2">
    <w:name w:val="Point 2"/>
    <w:basedOn w:val="Normal"/>
    <w:uiPriority w:val="99"/>
    <w:pPr>
      <w:ind w:left="1984" w:hanging="567"/>
    </w:pPr>
  </w:style>
  <w:style w:type="paragraph" w:customStyle="1" w:styleId="Point3">
    <w:name w:val="Point 3"/>
    <w:basedOn w:val="Normal"/>
    <w:uiPriority w:val="99"/>
    <w:pPr>
      <w:ind w:left="2551" w:hanging="567"/>
    </w:pPr>
  </w:style>
  <w:style w:type="paragraph" w:customStyle="1" w:styleId="Point4">
    <w:name w:val="Point 4"/>
    <w:basedOn w:val="Normal"/>
    <w:uiPriority w:val="99"/>
    <w:pPr>
      <w:ind w:left="3118" w:hanging="567"/>
    </w:pPr>
  </w:style>
  <w:style w:type="paragraph" w:customStyle="1" w:styleId="Tiret0">
    <w:name w:val="Tiret 0"/>
    <w:basedOn w:val="Point0"/>
    <w:uiPriority w:val="99"/>
    <w:pPr>
      <w:numPr>
        <w:numId w:val="26"/>
      </w:numPr>
    </w:pPr>
  </w:style>
  <w:style w:type="paragraph" w:customStyle="1" w:styleId="Tiret1">
    <w:name w:val="Tiret 1"/>
    <w:basedOn w:val="Point1"/>
    <w:uiPriority w:val="99"/>
    <w:pPr>
      <w:numPr>
        <w:numId w:val="27"/>
      </w:numPr>
    </w:pPr>
  </w:style>
  <w:style w:type="paragraph" w:customStyle="1" w:styleId="Tiret2">
    <w:name w:val="Tiret 2"/>
    <w:basedOn w:val="Point2"/>
    <w:uiPriority w:val="99"/>
    <w:pPr>
      <w:numPr>
        <w:numId w:val="28"/>
      </w:numPr>
    </w:pPr>
  </w:style>
  <w:style w:type="paragraph" w:customStyle="1" w:styleId="Tiret3">
    <w:name w:val="Tiret 3"/>
    <w:basedOn w:val="Point3"/>
    <w:uiPriority w:val="99"/>
    <w:pPr>
      <w:numPr>
        <w:numId w:val="29"/>
      </w:numPr>
    </w:pPr>
  </w:style>
  <w:style w:type="paragraph" w:customStyle="1" w:styleId="Tiret4">
    <w:name w:val="Tiret 4"/>
    <w:basedOn w:val="Point4"/>
    <w:uiPriority w:val="99"/>
    <w:pPr>
      <w:numPr>
        <w:numId w:val="30"/>
      </w:numPr>
    </w:pPr>
  </w:style>
  <w:style w:type="paragraph" w:customStyle="1" w:styleId="PointDouble0">
    <w:name w:val="PointDouble 0"/>
    <w:basedOn w:val="Normal"/>
    <w:uiPriority w:val="99"/>
    <w:pPr>
      <w:tabs>
        <w:tab w:val="left" w:pos="850"/>
      </w:tabs>
      <w:ind w:left="1417" w:hanging="1417"/>
    </w:pPr>
  </w:style>
  <w:style w:type="paragraph" w:customStyle="1" w:styleId="PointDouble1">
    <w:name w:val="PointDouble 1"/>
    <w:basedOn w:val="Normal"/>
    <w:uiPriority w:val="99"/>
    <w:pPr>
      <w:tabs>
        <w:tab w:val="left" w:pos="1417"/>
      </w:tabs>
      <w:ind w:left="1984" w:hanging="1134"/>
    </w:pPr>
  </w:style>
  <w:style w:type="paragraph" w:customStyle="1" w:styleId="PointDouble2">
    <w:name w:val="PointDouble 2"/>
    <w:basedOn w:val="Normal"/>
    <w:uiPriority w:val="99"/>
    <w:pPr>
      <w:tabs>
        <w:tab w:val="left" w:pos="1984"/>
      </w:tabs>
      <w:ind w:left="2551" w:hanging="1134"/>
    </w:pPr>
  </w:style>
  <w:style w:type="paragraph" w:customStyle="1" w:styleId="PointDouble3">
    <w:name w:val="PointDouble 3"/>
    <w:basedOn w:val="Normal"/>
    <w:uiPriority w:val="99"/>
    <w:pPr>
      <w:tabs>
        <w:tab w:val="left" w:pos="2551"/>
      </w:tabs>
      <w:ind w:left="3118" w:hanging="1134"/>
    </w:pPr>
  </w:style>
  <w:style w:type="paragraph" w:customStyle="1" w:styleId="PointDouble4">
    <w:name w:val="PointDouble 4"/>
    <w:basedOn w:val="Normal"/>
    <w:uiPriority w:val="99"/>
    <w:pPr>
      <w:tabs>
        <w:tab w:val="left" w:pos="3118"/>
      </w:tabs>
      <w:ind w:left="3685" w:hanging="1134"/>
    </w:pPr>
  </w:style>
  <w:style w:type="paragraph" w:customStyle="1" w:styleId="PointTriple0">
    <w:name w:val="PointTriple 0"/>
    <w:basedOn w:val="Normal"/>
    <w:uiPriority w:val="99"/>
    <w:pPr>
      <w:tabs>
        <w:tab w:val="left" w:pos="850"/>
        <w:tab w:val="left" w:pos="1417"/>
      </w:tabs>
      <w:ind w:left="1984" w:hanging="1984"/>
    </w:pPr>
  </w:style>
  <w:style w:type="paragraph" w:customStyle="1" w:styleId="PointTriple1">
    <w:name w:val="PointTriple 1"/>
    <w:basedOn w:val="Normal"/>
    <w:uiPriority w:val="99"/>
    <w:pPr>
      <w:tabs>
        <w:tab w:val="left" w:pos="1417"/>
        <w:tab w:val="left" w:pos="1984"/>
      </w:tabs>
      <w:ind w:left="2551" w:hanging="1701"/>
    </w:pPr>
  </w:style>
  <w:style w:type="paragraph" w:customStyle="1" w:styleId="PointTriple2">
    <w:name w:val="PointTriple 2"/>
    <w:basedOn w:val="Normal"/>
    <w:uiPriority w:val="99"/>
    <w:pPr>
      <w:tabs>
        <w:tab w:val="left" w:pos="1984"/>
        <w:tab w:val="left" w:pos="2551"/>
      </w:tabs>
      <w:ind w:left="3118" w:hanging="1701"/>
    </w:pPr>
  </w:style>
  <w:style w:type="paragraph" w:customStyle="1" w:styleId="PointTriple3">
    <w:name w:val="PointTriple 3"/>
    <w:basedOn w:val="Normal"/>
    <w:uiPriority w:val="99"/>
    <w:pPr>
      <w:tabs>
        <w:tab w:val="left" w:pos="2551"/>
        <w:tab w:val="left" w:pos="3118"/>
      </w:tabs>
      <w:ind w:left="3685" w:hanging="1701"/>
    </w:pPr>
  </w:style>
  <w:style w:type="paragraph" w:customStyle="1" w:styleId="PointTriple4">
    <w:name w:val="PointTriple 4"/>
    <w:basedOn w:val="Normal"/>
    <w:uiPriority w:val="99"/>
    <w:pPr>
      <w:tabs>
        <w:tab w:val="left" w:pos="3118"/>
        <w:tab w:val="left" w:pos="3685"/>
      </w:tabs>
      <w:ind w:left="4252" w:hanging="1701"/>
    </w:pPr>
  </w:style>
  <w:style w:type="paragraph" w:customStyle="1" w:styleId="NumPar1">
    <w:name w:val="NumPar 1"/>
    <w:basedOn w:val="Normal"/>
    <w:next w:val="Text1"/>
    <w:uiPriority w:val="99"/>
    <w:pPr>
      <w:numPr>
        <w:numId w:val="31"/>
      </w:numPr>
    </w:pPr>
  </w:style>
  <w:style w:type="paragraph" w:customStyle="1" w:styleId="NumPar2">
    <w:name w:val="NumPar 2"/>
    <w:basedOn w:val="Normal"/>
    <w:next w:val="Text1"/>
    <w:uiPriority w:val="99"/>
    <w:pPr>
      <w:numPr>
        <w:ilvl w:val="1"/>
        <w:numId w:val="31"/>
      </w:numPr>
    </w:pPr>
  </w:style>
  <w:style w:type="paragraph" w:customStyle="1" w:styleId="NumPar3">
    <w:name w:val="NumPar 3"/>
    <w:basedOn w:val="Normal"/>
    <w:next w:val="Text1"/>
    <w:uiPriority w:val="99"/>
    <w:pPr>
      <w:numPr>
        <w:ilvl w:val="2"/>
        <w:numId w:val="31"/>
      </w:numPr>
    </w:pPr>
  </w:style>
  <w:style w:type="paragraph" w:customStyle="1" w:styleId="NumPar4">
    <w:name w:val="NumPar 4"/>
    <w:basedOn w:val="Normal"/>
    <w:next w:val="Text1"/>
    <w:uiPriority w:val="99"/>
    <w:pPr>
      <w:numPr>
        <w:ilvl w:val="3"/>
        <w:numId w:val="31"/>
      </w:numPr>
    </w:pPr>
  </w:style>
  <w:style w:type="paragraph" w:customStyle="1" w:styleId="ManualNumPar1">
    <w:name w:val="Manual NumPar 1"/>
    <w:basedOn w:val="Normal"/>
    <w:next w:val="Text1"/>
    <w:uiPriority w:val="99"/>
    <w:pPr>
      <w:ind w:left="850" w:hanging="850"/>
    </w:pPr>
  </w:style>
  <w:style w:type="paragraph" w:customStyle="1" w:styleId="ManualNumPar2">
    <w:name w:val="Manual NumPar 2"/>
    <w:basedOn w:val="Normal"/>
    <w:next w:val="Text1"/>
    <w:uiPriority w:val="99"/>
    <w:pPr>
      <w:ind w:left="850" w:hanging="850"/>
    </w:pPr>
  </w:style>
  <w:style w:type="paragraph" w:customStyle="1" w:styleId="ManualNumPar3">
    <w:name w:val="Manual NumPar 3"/>
    <w:basedOn w:val="Normal"/>
    <w:next w:val="Text1"/>
    <w:uiPriority w:val="99"/>
    <w:pPr>
      <w:ind w:left="850" w:hanging="850"/>
    </w:pPr>
  </w:style>
  <w:style w:type="paragraph" w:customStyle="1" w:styleId="ManualNumPar4">
    <w:name w:val="Manual NumPar 4"/>
    <w:basedOn w:val="Normal"/>
    <w:next w:val="Text1"/>
    <w:uiPriority w:val="99"/>
    <w:pPr>
      <w:ind w:left="850" w:hanging="850"/>
    </w:pPr>
  </w:style>
  <w:style w:type="paragraph" w:customStyle="1" w:styleId="QuotedNumPar">
    <w:name w:val="Quoted NumPar"/>
    <w:basedOn w:val="Normal"/>
    <w:uiPriority w:val="99"/>
    <w:pPr>
      <w:ind w:left="1417" w:hanging="567"/>
    </w:pPr>
  </w:style>
  <w:style w:type="paragraph" w:customStyle="1" w:styleId="ManualHeading1">
    <w:name w:val="Manual Heading 1"/>
    <w:basedOn w:val="Normal"/>
    <w:next w:val="Text1"/>
    <w:uiPriority w:val="99"/>
    <w:pPr>
      <w:keepNext/>
      <w:tabs>
        <w:tab w:val="left" w:pos="850"/>
      </w:tabs>
      <w:spacing w:before="360"/>
      <w:ind w:left="850" w:hanging="850"/>
      <w:outlineLvl w:val="0"/>
    </w:pPr>
    <w:rPr>
      <w:b/>
      <w:smallCaps/>
    </w:rPr>
  </w:style>
  <w:style w:type="paragraph" w:customStyle="1" w:styleId="ManualHeading2">
    <w:name w:val="Manual Heading 2"/>
    <w:basedOn w:val="Normal"/>
    <w:next w:val="Text1"/>
    <w:uiPriority w:val="99"/>
    <w:pPr>
      <w:keepNext/>
      <w:tabs>
        <w:tab w:val="left" w:pos="850"/>
      </w:tabs>
      <w:ind w:left="850" w:hanging="850"/>
      <w:outlineLvl w:val="1"/>
    </w:pPr>
    <w:rPr>
      <w:b/>
    </w:rPr>
  </w:style>
  <w:style w:type="paragraph" w:customStyle="1" w:styleId="ManualHeading3">
    <w:name w:val="Manual Heading 3"/>
    <w:basedOn w:val="Normal"/>
    <w:next w:val="Text1"/>
    <w:uiPriority w:val="99"/>
    <w:pPr>
      <w:keepNext/>
      <w:tabs>
        <w:tab w:val="left" w:pos="850"/>
      </w:tabs>
      <w:ind w:left="850" w:hanging="850"/>
      <w:outlineLvl w:val="2"/>
    </w:pPr>
    <w:rPr>
      <w:i/>
    </w:rPr>
  </w:style>
  <w:style w:type="paragraph" w:customStyle="1" w:styleId="ManualHeading4">
    <w:name w:val="Manual Heading 4"/>
    <w:basedOn w:val="Normal"/>
    <w:next w:val="Text1"/>
    <w:uiPriority w:val="99"/>
    <w:pPr>
      <w:keepNext/>
      <w:tabs>
        <w:tab w:val="left" w:pos="850"/>
      </w:tabs>
      <w:ind w:left="850" w:hanging="850"/>
      <w:outlineLvl w:val="3"/>
    </w:pPr>
  </w:style>
  <w:style w:type="paragraph" w:customStyle="1" w:styleId="ChapterTitle">
    <w:name w:val="ChapterTitle"/>
    <w:basedOn w:val="Normal"/>
    <w:next w:val="Normal"/>
    <w:uiPriority w:val="99"/>
    <w:pPr>
      <w:keepNext/>
      <w:spacing w:after="360"/>
      <w:jc w:val="center"/>
    </w:pPr>
    <w:rPr>
      <w:b/>
      <w:sz w:val="32"/>
    </w:rPr>
  </w:style>
  <w:style w:type="paragraph" w:customStyle="1" w:styleId="PartTitle">
    <w:name w:val="PartTitle"/>
    <w:basedOn w:val="Normal"/>
    <w:next w:val="ChapterTitle"/>
    <w:uiPriority w:val="99"/>
    <w:pPr>
      <w:keepNext/>
      <w:pageBreakBefore/>
      <w:spacing w:after="360"/>
      <w:jc w:val="center"/>
    </w:pPr>
    <w:rPr>
      <w:b/>
      <w:sz w:val="36"/>
    </w:rPr>
  </w:style>
  <w:style w:type="paragraph" w:customStyle="1" w:styleId="SectionTitle">
    <w:name w:val="SectionTitle"/>
    <w:basedOn w:val="Normal"/>
    <w:next w:val="Heading1"/>
    <w:uiPriority w:val="99"/>
    <w:pPr>
      <w:keepNext/>
      <w:spacing w:after="360"/>
      <w:jc w:val="center"/>
    </w:pPr>
    <w:rPr>
      <w:b/>
      <w:smallCaps/>
      <w:sz w:val="28"/>
    </w:rPr>
  </w:style>
  <w:style w:type="paragraph" w:customStyle="1" w:styleId="TableTitle">
    <w:name w:val="Table Title"/>
    <w:basedOn w:val="Normal"/>
    <w:next w:val="Normal"/>
    <w:uiPriority w:val="99"/>
    <w:pPr>
      <w:jc w:val="center"/>
    </w:pPr>
    <w:rPr>
      <w:b/>
    </w:rPr>
  </w:style>
  <w:style w:type="character" w:customStyle="1" w:styleId="Marker">
    <w:name w:val="Marker"/>
    <w:basedOn w:val="DefaultParagraphFont"/>
    <w:uiPriority w:val="99"/>
    <w:rPr>
      <w:rFonts w:cs="Times New Roman"/>
      <w:color w:val="0000FF"/>
      <w:shd w:val="clear" w:color="auto" w:fill="auto"/>
    </w:rPr>
  </w:style>
  <w:style w:type="character" w:customStyle="1" w:styleId="Marker1">
    <w:name w:val="Marker1"/>
    <w:basedOn w:val="DefaultParagraphFont"/>
    <w:uiPriority w:val="99"/>
    <w:rPr>
      <w:rFonts w:cs="Times New Roman"/>
      <w:color w:val="008000"/>
      <w:shd w:val="clear" w:color="auto" w:fill="auto"/>
    </w:rPr>
  </w:style>
  <w:style w:type="character" w:customStyle="1" w:styleId="Marker2">
    <w:name w:val="Marker2"/>
    <w:basedOn w:val="DefaultParagraphFont"/>
    <w:uiPriority w:val="99"/>
    <w:rPr>
      <w:rFonts w:cs="Times New Roman"/>
      <w:color w:val="FF0000"/>
      <w:shd w:val="clear" w:color="auto" w:fill="auto"/>
    </w:rPr>
  </w:style>
  <w:style w:type="paragraph" w:customStyle="1" w:styleId="Point0number">
    <w:name w:val="Point 0 (number)"/>
    <w:basedOn w:val="Normal"/>
    <w:uiPriority w:val="99"/>
    <w:pPr>
      <w:numPr>
        <w:numId w:val="33"/>
      </w:numPr>
    </w:pPr>
  </w:style>
  <w:style w:type="paragraph" w:customStyle="1" w:styleId="Point1number">
    <w:name w:val="Point 1 (number)"/>
    <w:basedOn w:val="Normal"/>
    <w:uiPriority w:val="99"/>
    <w:pPr>
      <w:numPr>
        <w:ilvl w:val="2"/>
        <w:numId w:val="33"/>
      </w:numPr>
    </w:pPr>
  </w:style>
  <w:style w:type="paragraph" w:customStyle="1" w:styleId="Point2number">
    <w:name w:val="Point 2 (number)"/>
    <w:basedOn w:val="Normal"/>
    <w:uiPriority w:val="99"/>
    <w:pPr>
      <w:numPr>
        <w:ilvl w:val="4"/>
        <w:numId w:val="33"/>
      </w:numPr>
    </w:pPr>
  </w:style>
  <w:style w:type="paragraph" w:customStyle="1" w:styleId="Point3number">
    <w:name w:val="Point 3 (number)"/>
    <w:basedOn w:val="Normal"/>
    <w:uiPriority w:val="99"/>
    <w:pPr>
      <w:numPr>
        <w:ilvl w:val="6"/>
        <w:numId w:val="33"/>
      </w:numPr>
    </w:pPr>
  </w:style>
  <w:style w:type="paragraph" w:customStyle="1" w:styleId="Point0letter">
    <w:name w:val="Point 0 (letter)"/>
    <w:basedOn w:val="Normal"/>
    <w:uiPriority w:val="99"/>
    <w:pPr>
      <w:numPr>
        <w:ilvl w:val="1"/>
        <w:numId w:val="33"/>
      </w:numPr>
    </w:pPr>
  </w:style>
  <w:style w:type="paragraph" w:customStyle="1" w:styleId="Point1letter">
    <w:name w:val="Point 1 (letter)"/>
    <w:basedOn w:val="Normal"/>
    <w:uiPriority w:val="99"/>
    <w:pPr>
      <w:numPr>
        <w:ilvl w:val="3"/>
        <w:numId w:val="33"/>
      </w:numPr>
    </w:pPr>
  </w:style>
  <w:style w:type="paragraph" w:customStyle="1" w:styleId="Point2letter">
    <w:name w:val="Point 2 (letter)"/>
    <w:basedOn w:val="Normal"/>
    <w:uiPriority w:val="99"/>
    <w:pPr>
      <w:numPr>
        <w:ilvl w:val="5"/>
        <w:numId w:val="33"/>
      </w:numPr>
    </w:pPr>
  </w:style>
  <w:style w:type="paragraph" w:customStyle="1" w:styleId="Point3letter">
    <w:name w:val="Point 3 (letter)"/>
    <w:basedOn w:val="Normal"/>
    <w:uiPriority w:val="99"/>
    <w:pPr>
      <w:numPr>
        <w:ilvl w:val="7"/>
        <w:numId w:val="33"/>
      </w:numPr>
    </w:pPr>
  </w:style>
  <w:style w:type="paragraph" w:customStyle="1" w:styleId="Point4letter">
    <w:name w:val="Point 4 (letter)"/>
    <w:basedOn w:val="Normal"/>
    <w:uiPriority w:val="99"/>
    <w:pPr>
      <w:numPr>
        <w:ilvl w:val="8"/>
        <w:numId w:val="33"/>
      </w:numPr>
    </w:pPr>
  </w:style>
  <w:style w:type="paragraph" w:customStyle="1" w:styleId="Bullet0">
    <w:name w:val="Bullet 0"/>
    <w:basedOn w:val="Normal"/>
    <w:uiPriority w:val="99"/>
    <w:pPr>
      <w:numPr>
        <w:numId w:val="34"/>
      </w:numPr>
    </w:pPr>
  </w:style>
  <w:style w:type="paragraph" w:customStyle="1" w:styleId="Bullet1">
    <w:name w:val="Bullet 1"/>
    <w:basedOn w:val="Normal"/>
    <w:uiPriority w:val="99"/>
    <w:pPr>
      <w:numPr>
        <w:numId w:val="35"/>
      </w:numPr>
    </w:pPr>
  </w:style>
  <w:style w:type="paragraph" w:customStyle="1" w:styleId="Bullet2">
    <w:name w:val="Bullet 2"/>
    <w:basedOn w:val="Normal"/>
    <w:uiPriority w:val="99"/>
    <w:pPr>
      <w:numPr>
        <w:numId w:val="36"/>
      </w:numPr>
    </w:pPr>
  </w:style>
  <w:style w:type="paragraph" w:customStyle="1" w:styleId="Bullet3">
    <w:name w:val="Bullet 3"/>
    <w:basedOn w:val="Normal"/>
    <w:uiPriority w:val="99"/>
    <w:pPr>
      <w:numPr>
        <w:numId w:val="37"/>
      </w:numPr>
    </w:pPr>
  </w:style>
  <w:style w:type="paragraph" w:customStyle="1" w:styleId="Bullet4">
    <w:name w:val="Bullet 4"/>
    <w:basedOn w:val="Normal"/>
    <w:uiPriority w:val="99"/>
    <w:pPr>
      <w:numPr>
        <w:numId w:val="38"/>
      </w:numPr>
    </w:pPr>
  </w:style>
  <w:style w:type="paragraph" w:customStyle="1" w:styleId="Annexetitreexpos">
    <w:name w:val="Annexe titre (exposé)"/>
    <w:basedOn w:val="Normal"/>
    <w:next w:val="Normal"/>
    <w:uiPriority w:val="99"/>
    <w:pPr>
      <w:jc w:val="center"/>
    </w:pPr>
    <w:rPr>
      <w:b/>
      <w:u w:val="single"/>
    </w:rPr>
  </w:style>
  <w:style w:type="paragraph" w:customStyle="1" w:styleId="Annexetitre">
    <w:name w:val="Annexe titre"/>
    <w:basedOn w:val="Normal"/>
    <w:next w:val="Normal"/>
    <w:uiPriority w:val="99"/>
    <w:pPr>
      <w:jc w:val="center"/>
    </w:pPr>
    <w:rPr>
      <w:b/>
      <w:u w:val="single"/>
    </w:rPr>
  </w:style>
  <w:style w:type="paragraph" w:customStyle="1" w:styleId="Annexetitrefichefinancire">
    <w:name w:val="Annexe titre (fiche financière)"/>
    <w:basedOn w:val="Normal"/>
    <w:next w:val="Normal"/>
    <w:uiPriority w:val="99"/>
    <w:pPr>
      <w:jc w:val="center"/>
    </w:pPr>
    <w:rPr>
      <w:b/>
      <w:u w:val="single"/>
    </w:rPr>
  </w:style>
  <w:style w:type="paragraph" w:customStyle="1" w:styleId="Applicationdirecte">
    <w:name w:val="Application directe"/>
    <w:basedOn w:val="Normal"/>
    <w:next w:val="Fait"/>
    <w:uiPriority w:val="99"/>
    <w:pPr>
      <w:spacing w:before="480"/>
    </w:pPr>
  </w:style>
  <w:style w:type="paragraph" w:customStyle="1" w:styleId="Avertissementtitre">
    <w:name w:val="Avertissement titre"/>
    <w:basedOn w:val="Normal"/>
    <w:next w:val="Normal"/>
    <w:uiPriority w:val="99"/>
    <w:pPr>
      <w:keepNext/>
      <w:spacing w:before="480"/>
    </w:pPr>
    <w:rPr>
      <w:u w:val="single"/>
    </w:rPr>
  </w:style>
  <w:style w:type="paragraph" w:customStyle="1" w:styleId="Confidence">
    <w:name w:val="Confidence"/>
    <w:basedOn w:val="Normal"/>
    <w:next w:val="Normal"/>
    <w:uiPriority w:val="99"/>
    <w:pPr>
      <w:spacing w:before="360"/>
      <w:jc w:val="center"/>
    </w:pPr>
  </w:style>
  <w:style w:type="paragraph" w:customStyle="1" w:styleId="Confidentialit">
    <w:name w:val="Confidentialité"/>
    <w:basedOn w:val="Normal"/>
    <w:next w:val="TypedudocumentPagedecouverture"/>
    <w:uiPriority w:val="99"/>
    <w:pPr>
      <w:spacing w:before="240" w:after="240"/>
      <w:ind w:left="5103"/>
      <w:jc w:val="left"/>
    </w:pPr>
    <w:rPr>
      <w:i/>
      <w:sz w:val="32"/>
    </w:rPr>
  </w:style>
  <w:style w:type="paragraph" w:customStyle="1" w:styleId="Considrant">
    <w:name w:val="Considérant"/>
    <w:basedOn w:val="Normal"/>
    <w:uiPriority w:val="99"/>
    <w:pPr>
      <w:numPr>
        <w:numId w:val="23"/>
      </w:numPr>
      <w:tabs>
        <w:tab w:val="clear" w:pos="926"/>
        <w:tab w:val="num" w:pos="709"/>
      </w:tabs>
      <w:ind w:left="709" w:hanging="709"/>
    </w:pPr>
  </w:style>
  <w:style w:type="paragraph" w:customStyle="1" w:styleId="Corrigendum">
    <w:name w:val="Corrigendum"/>
    <w:basedOn w:val="Normal"/>
    <w:next w:val="Normal"/>
    <w:uiPriority w:val="99"/>
    <w:pPr>
      <w:spacing w:before="0" w:after="240"/>
      <w:jc w:val="left"/>
    </w:pPr>
  </w:style>
  <w:style w:type="paragraph" w:customStyle="1" w:styleId="Datedadoption">
    <w:name w:val="Date d'adoption"/>
    <w:basedOn w:val="Normal"/>
    <w:next w:val="Titreobjet"/>
    <w:uiPriority w:val="99"/>
    <w:pPr>
      <w:spacing w:before="360" w:after="0"/>
      <w:jc w:val="center"/>
    </w:pPr>
    <w:rPr>
      <w:b/>
    </w:rPr>
  </w:style>
  <w:style w:type="paragraph" w:customStyle="1" w:styleId="Emission">
    <w:name w:val="Emission"/>
    <w:basedOn w:val="Normal"/>
    <w:next w:val="Rfrenceinstitutionnelle"/>
    <w:uiPriority w:val="99"/>
    <w:pPr>
      <w:spacing w:before="0" w:after="0"/>
      <w:ind w:left="5103"/>
      <w:jc w:val="left"/>
    </w:pPr>
  </w:style>
  <w:style w:type="paragraph" w:customStyle="1" w:styleId="Exposdesmotifstitre">
    <w:name w:val="Exposé des motifs titre"/>
    <w:basedOn w:val="Normal"/>
    <w:next w:val="Normal"/>
    <w:uiPriority w:val="99"/>
    <w:pPr>
      <w:jc w:val="center"/>
    </w:pPr>
    <w:rPr>
      <w:b/>
      <w:u w:val="single"/>
    </w:rPr>
  </w:style>
  <w:style w:type="paragraph" w:customStyle="1" w:styleId="Fait">
    <w:name w:val="Fait à"/>
    <w:basedOn w:val="Normal"/>
    <w:next w:val="Institutionquisigne"/>
    <w:uiPriority w:val="99"/>
    <w:pPr>
      <w:keepNext/>
      <w:spacing w:after="0"/>
    </w:pPr>
  </w:style>
  <w:style w:type="paragraph" w:customStyle="1" w:styleId="Formuledadoption">
    <w:name w:val="Formule d'adoption"/>
    <w:basedOn w:val="Normal"/>
    <w:next w:val="Titrearticle"/>
    <w:uiPriority w:val="99"/>
    <w:pPr>
      <w:keepNext/>
    </w:pPr>
  </w:style>
  <w:style w:type="paragraph" w:customStyle="1" w:styleId="Institutionquiagit">
    <w:name w:val="Institution qui agit"/>
    <w:basedOn w:val="Normal"/>
    <w:next w:val="Normal"/>
    <w:uiPriority w:val="99"/>
    <w:pPr>
      <w:keepNext/>
      <w:spacing w:before="600"/>
    </w:pPr>
  </w:style>
  <w:style w:type="paragraph" w:customStyle="1" w:styleId="Institutionquisigne">
    <w:name w:val="Institution qui signe"/>
    <w:basedOn w:val="Normal"/>
    <w:next w:val="Personnequisigne"/>
    <w:uiPriority w:val="99"/>
    <w:pPr>
      <w:keepNext/>
      <w:tabs>
        <w:tab w:val="left" w:pos="4252"/>
      </w:tabs>
      <w:spacing w:before="720" w:after="0"/>
    </w:pPr>
    <w:rPr>
      <w:i/>
    </w:rPr>
  </w:style>
  <w:style w:type="paragraph" w:customStyle="1" w:styleId="Langue">
    <w:name w:val="Langue"/>
    <w:basedOn w:val="Normal"/>
    <w:next w:val="Rfrenceinterne"/>
    <w:uiPriority w:val="99"/>
    <w:pPr>
      <w:framePr w:wrap="around" w:vAnchor="page" w:hAnchor="text" w:xAlign="center" w:y="14741"/>
      <w:spacing w:before="0" w:after="600"/>
      <w:jc w:val="center"/>
    </w:pPr>
    <w:rPr>
      <w:b/>
      <w:caps/>
    </w:rPr>
  </w:style>
  <w:style w:type="paragraph" w:customStyle="1" w:styleId="ManualConsidrant">
    <w:name w:val="Manual Considérant"/>
    <w:basedOn w:val="Normal"/>
    <w:uiPriority w:val="99"/>
    <w:pPr>
      <w:ind w:left="709" w:hanging="709"/>
    </w:pPr>
  </w:style>
  <w:style w:type="paragraph" w:customStyle="1" w:styleId="Nomdelinstitution">
    <w:name w:val="Nom de l'institution"/>
    <w:basedOn w:val="Normal"/>
    <w:next w:val="Emission"/>
    <w:uiPriority w:val="99"/>
    <w:pPr>
      <w:spacing w:before="0" w:after="0"/>
      <w:jc w:val="left"/>
    </w:pPr>
    <w:rPr>
      <w:rFonts w:ascii="Arial" w:hAnsi="Arial" w:cs="Arial"/>
    </w:rPr>
  </w:style>
  <w:style w:type="paragraph" w:customStyle="1" w:styleId="Personnequisigne">
    <w:name w:val="Personne qui signe"/>
    <w:basedOn w:val="Normal"/>
    <w:next w:val="Institutionquisigne"/>
    <w:uiPriority w:val="99"/>
    <w:pPr>
      <w:tabs>
        <w:tab w:val="left" w:pos="4252"/>
      </w:tabs>
      <w:spacing w:before="0" w:after="0"/>
      <w:jc w:val="left"/>
    </w:pPr>
    <w:rPr>
      <w:i/>
    </w:rPr>
  </w:style>
  <w:style w:type="paragraph" w:customStyle="1" w:styleId="Rfrenceinstitutionnelle">
    <w:name w:val="Référence institutionnelle"/>
    <w:basedOn w:val="Normal"/>
    <w:next w:val="Confidentialit"/>
    <w:uiPriority w:val="99"/>
    <w:pPr>
      <w:spacing w:before="0" w:after="240"/>
      <w:ind w:left="5103"/>
      <w:jc w:val="left"/>
    </w:pPr>
  </w:style>
  <w:style w:type="paragraph" w:customStyle="1" w:styleId="Rfrenceinterinstitutionnelle">
    <w:name w:val="Référence interinstitutionnelle"/>
    <w:basedOn w:val="Normal"/>
    <w:next w:val="Statut"/>
    <w:uiPriority w:val="99"/>
    <w:pPr>
      <w:spacing w:before="0" w:after="0"/>
      <w:ind w:left="5103"/>
      <w:jc w:val="left"/>
    </w:pPr>
  </w:style>
  <w:style w:type="paragraph" w:customStyle="1" w:styleId="Rfrenceinterne">
    <w:name w:val="Référence interne"/>
    <w:basedOn w:val="Normal"/>
    <w:next w:val="Rfrenceinterinstitutionnelle"/>
    <w:uiPriority w:val="99"/>
    <w:pPr>
      <w:spacing w:before="0" w:after="0"/>
      <w:ind w:left="5103"/>
      <w:jc w:val="left"/>
    </w:pPr>
  </w:style>
  <w:style w:type="paragraph" w:customStyle="1" w:styleId="Sous-titreobjet">
    <w:name w:val="Sous-titre objet"/>
    <w:basedOn w:val="Normal"/>
    <w:uiPriority w:val="99"/>
    <w:pPr>
      <w:spacing w:before="0" w:after="0"/>
      <w:jc w:val="center"/>
    </w:pPr>
    <w:rPr>
      <w:b/>
    </w:rPr>
  </w:style>
  <w:style w:type="paragraph" w:customStyle="1" w:styleId="Statut">
    <w:name w:val="Statut"/>
    <w:basedOn w:val="Normal"/>
    <w:next w:val="Typedudocument"/>
    <w:uiPriority w:val="99"/>
    <w:pPr>
      <w:spacing w:before="360" w:after="0"/>
      <w:jc w:val="center"/>
    </w:pPr>
  </w:style>
  <w:style w:type="paragraph" w:customStyle="1" w:styleId="Titrearticle">
    <w:name w:val="Titre article"/>
    <w:basedOn w:val="Normal"/>
    <w:next w:val="Normal"/>
    <w:uiPriority w:val="99"/>
    <w:pPr>
      <w:keepNext/>
      <w:spacing w:before="360"/>
      <w:jc w:val="center"/>
    </w:pPr>
    <w:rPr>
      <w:i/>
    </w:rPr>
  </w:style>
  <w:style w:type="paragraph" w:customStyle="1" w:styleId="Titreobjet">
    <w:name w:val="Titre objet"/>
    <w:basedOn w:val="Normal"/>
    <w:next w:val="Sous-titreobjet"/>
    <w:uiPriority w:val="99"/>
    <w:pPr>
      <w:spacing w:before="360" w:after="360"/>
      <w:jc w:val="center"/>
    </w:pPr>
    <w:rPr>
      <w:b/>
    </w:rPr>
  </w:style>
  <w:style w:type="paragraph" w:customStyle="1" w:styleId="Typedudocument">
    <w:name w:val="Type du document"/>
    <w:basedOn w:val="Normal"/>
    <w:next w:val="Titreobjet"/>
    <w:uiPriority w:val="99"/>
    <w:pPr>
      <w:spacing w:before="360" w:after="0"/>
      <w:jc w:val="center"/>
    </w:pPr>
    <w:rPr>
      <w:b/>
    </w:rPr>
  </w:style>
  <w:style w:type="character" w:customStyle="1" w:styleId="Added">
    <w:name w:val="Added"/>
    <w:basedOn w:val="DefaultParagraphFont"/>
    <w:uiPriority w:val="99"/>
    <w:rPr>
      <w:rFonts w:cs="Times New Roman"/>
      <w:b/>
      <w:u w:val="single"/>
      <w:shd w:val="clear" w:color="auto" w:fill="auto"/>
    </w:rPr>
  </w:style>
  <w:style w:type="character" w:customStyle="1" w:styleId="Deleted">
    <w:name w:val="Deleted"/>
    <w:basedOn w:val="DefaultParagraphFont"/>
    <w:uiPriority w:val="99"/>
    <w:rPr>
      <w:rFonts w:cs="Times New Roman"/>
      <w:strike/>
      <w:shd w:val="clear" w:color="auto" w:fill="auto"/>
    </w:rPr>
  </w:style>
  <w:style w:type="paragraph" w:customStyle="1" w:styleId="Address">
    <w:name w:val="Address"/>
    <w:basedOn w:val="Normal"/>
    <w:next w:val="Normal"/>
    <w:uiPriority w:val="99"/>
    <w:pPr>
      <w:keepLines/>
      <w:spacing w:line="360" w:lineRule="auto"/>
      <w:ind w:left="3402"/>
      <w:jc w:val="left"/>
    </w:pPr>
  </w:style>
  <w:style w:type="paragraph" w:customStyle="1" w:styleId="Objetexterne">
    <w:name w:val="Objet externe"/>
    <w:basedOn w:val="Normal"/>
    <w:next w:val="Normal"/>
    <w:uiPriority w:val="99"/>
    <w:rPr>
      <w:i/>
      <w:caps/>
    </w:rPr>
  </w:style>
  <w:style w:type="paragraph" w:customStyle="1" w:styleId="Pagedecouverture">
    <w:name w:val="Page de couverture"/>
    <w:basedOn w:val="Normal"/>
    <w:next w:val="Normal"/>
    <w:uiPriority w:val="99"/>
    <w:pPr>
      <w:spacing w:before="0" w:after="0"/>
    </w:pPr>
  </w:style>
  <w:style w:type="paragraph" w:customStyle="1" w:styleId="Supertitre">
    <w:name w:val="Supertitre"/>
    <w:basedOn w:val="Normal"/>
    <w:next w:val="Normal"/>
    <w:uiPriority w:val="99"/>
    <w:pPr>
      <w:spacing w:before="0" w:after="600"/>
      <w:jc w:val="center"/>
    </w:pPr>
    <w:rPr>
      <w:b/>
    </w:rPr>
  </w:style>
  <w:style w:type="paragraph" w:customStyle="1" w:styleId="Languesfaisantfoi">
    <w:name w:val="Langues faisant foi"/>
    <w:basedOn w:val="Normal"/>
    <w:next w:val="Normal"/>
    <w:uiPriority w:val="99"/>
    <w:pPr>
      <w:spacing w:before="360" w:after="0"/>
      <w:jc w:val="center"/>
    </w:pPr>
  </w:style>
  <w:style w:type="paragraph" w:customStyle="1" w:styleId="Rfrencecroise">
    <w:name w:val="Référence croisée"/>
    <w:basedOn w:val="Normal"/>
    <w:uiPriority w:val="99"/>
    <w:pPr>
      <w:spacing w:before="0" w:after="0"/>
      <w:jc w:val="center"/>
    </w:pPr>
  </w:style>
  <w:style w:type="paragraph" w:customStyle="1" w:styleId="Fichefinanciretitre">
    <w:name w:val="Fiche financière titre"/>
    <w:basedOn w:val="Normal"/>
    <w:next w:val="Normal"/>
    <w:uiPriority w:val="99"/>
    <w:pPr>
      <w:jc w:val="center"/>
    </w:pPr>
    <w:rPr>
      <w:b/>
      <w:u w:val="single"/>
    </w:rPr>
  </w:style>
  <w:style w:type="paragraph" w:customStyle="1" w:styleId="DatedadoptionPagedecouverture">
    <w:name w:val="Date d'adoption (Page de couverture)"/>
    <w:basedOn w:val="Datedadoption"/>
    <w:next w:val="TitreobjetPagedecouverture"/>
    <w:uiPriority w:val="99"/>
  </w:style>
  <w:style w:type="paragraph" w:customStyle="1" w:styleId="RfrenceinterinstitutionnellePagedecouverture">
    <w:name w:val="Référence interinstitutionnelle (Page de couverture)"/>
    <w:basedOn w:val="Rfrenceinterinstitutionnelle"/>
    <w:next w:val="Confidentialit"/>
    <w:uiPriority w:val="99"/>
  </w:style>
  <w:style w:type="paragraph" w:customStyle="1" w:styleId="Sous-titreobjetPagedecouverture">
    <w:name w:val="Sous-titre objet (Page de couverture)"/>
    <w:basedOn w:val="Sous-titreobjet"/>
    <w:uiPriority w:val="99"/>
  </w:style>
  <w:style w:type="paragraph" w:customStyle="1" w:styleId="StatutPagedecouverture">
    <w:name w:val="Statut (Page de couverture)"/>
    <w:basedOn w:val="Statut"/>
    <w:next w:val="TypedudocumentPagedecouverture"/>
    <w:uiPriority w:val="99"/>
  </w:style>
  <w:style w:type="paragraph" w:customStyle="1" w:styleId="TitreobjetPagedecouverture">
    <w:name w:val="Titre objet (Page de couverture)"/>
    <w:basedOn w:val="Titreobjet"/>
    <w:next w:val="Sous-titreobjetPagedecouverture"/>
    <w:uiPriority w:val="99"/>
  </w:style>
  <w:style w:type="paragraph" w:customStyle="1" w:styleId="TypedudocumentPagedecouverture">
    <w:name w:val="Type du document (Page de couverture)"/>
    <w:basedOn w:val="Typedudocument"/>
    <w:next w:val="TitreobjetPagedecouverture"/>
    <w:uiPriority w:val="99"/>
  </w:style>
  <w:style w:type="paragraph" w:customStyle="1" w:styleId="Volume">
    <w:name w:val="Volume"/>
    <w:basedOn w:val="Normal"/>
    <w:next w:val="Confidentialit"/>
    <w:uiPriority w:val="99"/>
    <w:pPr>
      <w:spacing w:before="0" w:after="240"/>
      <w:ind w:left="5103"/>
      <w:jc w:val="left"/>
    </w:pPr>
  </w:style>
  <w:style w:type="paragraph" w:customStyle="1" w:styleId="IntrtEEE">
    <w:name w:val="Intérêt EEE"/>
    <w:basedOn w:val="Languesfaisantfoi"/>
    <w:next w:val="Normal"/>
    <w:uiPriority w:val="99"/>
    <w:pPr>
      <w:spacing w:after="240"/>
    </w:pPr>
  </w:style>
  <w:style w:type="paragraph" w:customStyle="1" w:styleId="Accompagnant">
    <w:name w:val="Accompagnant"/>
    <w:basedOn w:val="Normal"/>
    <w:next w:val="Typeacteprincipal"/>
    <w:uiPriority w:val="99"/>
    <w:pPr>
      <w:spacing w:before="0" w:after="240"/>
      <w:jc w:val="center"/>
    </w:pPr>
    <w:rPr>
      <w:b/>
      <w:i/>
    </w:rPr>
  </w:style>
  <w:style w:type="paragraph" w:customStyle="1" w:styleId="Typeacteprincipal">
    <w:name w:val="Type acte principal"/>
    <w:basedOn w:val="Normal"/>
    <w:next w:val="Objetacteprincipal"/>
    <w:uiPriority w:val="99"/>
    <w:pPr>
      <w:spacing w:before="0" w:after="240"/>
      <w:jc w:val="center"/>
    </w:pPr>
    <w:rPr>
      <w:b/>
    </w:rPr>
  </w:style>
  <w:style w:type="paragraph" w:customStyle="1" w:styleId="Objetacteprincipal">
    <w:name w:val="Objet acte principal"/>
    <w:basedOn w:val="Normal"/>
    <w:next w:val="Titrearticle"/>
    <w:uiPriority w:val="99"/>
    <w:pPr>
      <w:spacing w:before="0" w:after="360"/>
      <w:jc w:val="center"/>
    </w:pPr>
    <w:rPr>
      <w:b/>
    </w:rPr>
  </w:style>
  <w:style w:type="paragraph" w:customStyle="1" w:styleId="IntrtEEEPagedecouverture">
    <w:name w:val="Intérêt EEE (Page de couverture)"/>
    <w:basedOn w:val="IntrtEEE"/>
    <w:next w:val="Rfrencecroise"/>
    <w:uiPriority w:val="99"/>
  </w:style>
  <w:style w:type="paragraph" w:customStyle="1" w:styleId="AccompagnantPagedecouverture">
    <w:name w:val="Accompagnant (Page de couverture)"/>
    <w:basedOn w:val="Accompagnant"/>
    <w:next w:val="TypeacteprincipalPagedecouverture"/>
    <w:uiPriority w:val="99"/>
  </w:style>
  <w:style w:type="paragraph" w:customStyle="1" w:styleId="TypeacteprincipalPagedecouverture">
    <w:name w:val="Type acte principal (Page de couverture)"/>
    <w:basedOn w:val="Typeacteprincipal"/>
    <w:next w:val="ObjetacteprincipalPagedecouverture"/>
    <w:uiPriority w:val="99"/>
  </w:style>
  <w:style w:type="paragraph" w:customStyle="1" w:styleId="ObjetacteprincipalPagedecouverture">
    <w:name w:val="Objet acte principal (Page de couverture)"/>
    <w:basedOn w:val="Objetacteprincipal"/>
    <w:next w:val="Rfrencecroise"/>
    <w:uiPriority w:val="99"/>
  </w:style>
  <w:style w:type="paragraph" w:customStyle="1" w:styleId="LanguesfaisantfoiPagedecouverture">
    <w:name w:val="Langues faisant foi (Page de couverture)"/>
    <w:basedOn w:val="Normal"/>
    <w:next w:val="Normal"/>
    <w:uiPriority w:val="99"/>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Template>
  <TotalTime>0</TotalTime>
  <Pages>4</Pages>
  <Words>997</Words>
  <Characters>5683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DECLEYRE Martine (AGRI)</dc:creator>
  <cp:keywords/>
  <dc:description/>
  <cp:lastModifiedBy>AAA</cp:lastModifiedBy>
  <cp:revision>2</cp:revision>
  <cp:lastPrinted>2016-11-15T14:12:00Z</cp:lastPrinted>
  <dcterms:created xsi:type="dcterms:W3CDTF">2016-11-29T16:57:00Z</dcterms:created>
  <dcterms:modified xsi:type="dcterms:W3CDTF">2016-11-29T16:57:00Z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20141001</vt:lpwstr>
  </property>
  <property fmtid="{D5CDD505-2E9C-101B-9397-08002B2CF9AE}" pid="6" name="Created using">
    <vt:lpwstr>LW 5.8.2, Build 20120919</vt:lpwstr>
  </property>
  <property fmtid="{D5CDD505-2E9C-101B-9397-08002B2CF9AE}" pid="7" name="LWTemplateID">
    <vt:lpwstr>SJ-009</vt:lpwstr>
  </property>
  <property fmtid="{D5CDD505-2E9C-101B-9397-08002B2CF9AE}" pid="8" name="Part">
    <vt:lpwstr>1</vt:lpwstr>
  </property>
  <property fmtid="{D5CDD505-2E9C-101B-9397-08002B2CF9AE}" pid="9" name="Total parts">
    <vt:lpwstr>1</vt:lpwstr>
  </property>
  <property fmtid="{D5CDD505-2E9C-101B-9397-08002B2CF9AE}" pid="10" name="_NewReviewCycle">
    <vt:lpwstr/>
  </property>
  <property fmtid="{D5CDD505-2E9C-101B-9397-08002B2CF9AE}" pid="11" name="DQCStatus">
    <vt:lpwstr>Green (DQC version 03)</vt:lpwstr>
  </property>
</Properties>
</file>