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4F6" w:rsidRDefault="005A44F6" w:rsidP="005A44F6">
      <w:pPr>
        <w:spacing w:after="120"/>
        <w:rPr>
          <w:rFonts w:cs="Times New Roman"/>
          <w:szCs w:val="24"/>
        </w:rPr>
      </w:pPr>
      <w:bookmarkStart w:id="0" w:name="_GoBack"/>
      <w:bookmarkEnd w:id="0"/>
      <w:r>
        <w:rPr>
          <w:rFonts w:cs="Times New Roman"/>
          <w:szCs w:val="24"/>
        </w:rPr>
        <w:t xml:space="preserve">DECRETO-LEGGE recante </w:t>
      </w:r>
      <w:r w:rsidR="00953534">
        <w:rPr>
          <w:rFonts w:cs="Times New Roman"/>
          <w:szCs w:val="24"/>
        </w:rPr>
        <w:t xml:space="preserve">disposizioni </w:t>
      </w:r>
      <w:r>
        <w:rPr>
          <w:rFonts w:cs="Times New Roman"/>
          <w:szCs w:val="24"/>
        </w:rPr>
        <w:t>urgenti per il sostegno alla liquidità delle imprese e all’esportazione</w:t>
      </w:r>
    </w:p>
    <w:p w:rsidR="005A44F6" w:rsidRDefault="005A44F6" w:rsidP="00757BA7">
      <w:pPr>
        <w:spacing w:after="120"/>
        <w:jc w:val="center"/>
        <w:rPr>
          <w:rFonts w:cs="Times New Roman"/>
          <w:szCs w:val="24"/>
        </w:rPr>
      </w:pPr>
    </w:p>
    <w:p w:rsidR="007D298B" w:rsidRPr="00757BA7" w:rsidRDefault="007D298B" w:rsidP="00757BA7">
      <w:pPr>
        <w:spacing w:after="120"/>
        <w:jc w:val="center"/>
        <w:rPr>
          <w:rFonts w:cs="Times New Roman"/>
          <w:szCs w:val="24"/>
        </w:rPr>
      </w:pPr>
      <w:r w:rsidRPr="00757BA7">
        <w:rPr>
          <w:rFonts w:cs="Times New Roman"/>
          <w:szCs w:val="24"/>
        </w:rPr>
        <w:t>IL PRESIDENTE DELLA REPUBBLICA</w:t>
      </w:r>
    </w:p>
    <w:p w:rsidR="007D298B" w:rsidRPr="00757BA7" w:rsidRDefault="007D298B" w:rsidP="00757BA7">
      <w:pPr>
        <w:spacing w:after="120"/>
        <w:rPr>
          <w:rFonts w:cs="Times New Roman"/>
          <w:szCs w:val="24"/>
        </w:rPr>
      </w:pPr>
    </w:p>
    <w:p w:rsidR="007D298B" w:rsidRPr="00757BA7" w:rsidRDefault="007D298B" w:rsidP="00757BA7">
      <w:pPr>
        <w:spacing w:after="120"/>
        <w:rPr>
          <w:rFonts w:cs="Times New Roman"/>
          <w:szCs w:val="24"/>
        </w:rPr>
      </w:pPr>
      <w:r w:rsidRPr="00757BA7">
        <w:rPr>
          <w:rFonts w:cs="Times New Roman"/>
          <w:szCs w:val="24"/>
        </w:rPr>
        <w:t>Visti gli articoli 77 e 87 della Costituzione;</w:t>
      </w:r>
    </w:p>
    <w:p w:rsidR="00100B83" w:rsidRPr="00757BA7" w:rsidRDefault="00100B83" w:rsidP="00757BA7">
      <w:pPr>
        <w:spacing w:after="120"/>
        <w:rPr>
          <w:rFonts w:cs="Times New Roman"/>
          <w:szCs w:val="24"/>
        </w:rPr>
      </w:pPr>
      <w:r w:rsidRPr="00757BA7">
        <w:rPr>
          <w:rFonts w:cs="Times New Roman"/>
          <w:szCs w:val="24"/>
        </w:rPr>
        <w:t xml:space="preserve">Visto il </w:t>
      </w:r>
      <w:r w:rsidR="00215C69">
        <w:rPr>
          <w:rFonts w:cs="Times New Roman"/>
          <w:szCs w:val="24"/>
        </w:rPr>
        <w:t>decreto</w:t>
      </w:r>
      <w:r w:rsidRPr="00757BA7">
        <w:rPr>
          <w:rFonts w:cs="Times New Roman"/>
          <w:szCs w:val="24"/>
        </w:rPr>
        <w:t xml:space="preserve"> legislativo 31 marzo 1998, n. 143;</w:t>
      </w:r>
    </w:p>
    <w:p w:rsidR="00100B83" w:rsidRPr="00757BA7" w:rsidRDefault="00100B83" w:rsidP="00757BA7">
      <w:pPr>
        <w:spacing w:after="120"/>
        <w:rPr>
          <w:rFonts w:cs="Times New Roman"/>
          <w:szCs w:val="24"/>
        </w:rPr>
      </w:pPr>
      <w:r w:rsidRPr="00757BA7">
        <w:rPr>
          <w:rFonts w:cs="Times New Roman"/>
          <w:szCs w:val="24"/>
        </w:rPr>
        <w:t>Visto il</w:t>
      </w:r>
      <w:r w:rsidR="00A924DF" w:rsidRPr="00757BA7">
        <w:rPr>
          <w:rFonts w:cs="Times New Roman"/>
          <w:szCs w:val="24"/>
        </w:rPr>
        <w:t xml:space="preserve"> </w:t>
      </w:r>
      <w:r w:rsidR="00215C69">
        <w:rPr>
          <w:rFonts w:cs="Times New Roman"/>
          <w:szCs w:val="24"/>
        </w:rPr>
        <w:t>decreto</w:t>
      </w:r>
      <w:r w:rsidR="00722E87">
        <w:rPr>
          <w:rFonts w:cs="Times New Roman"/>
          <w:szCs w:val="24"/>
        </w:rPr>
        <w:t>-</w:t>
      </w:r>
      <w:r w:rsidR="00A924DF" w:rsidRPr="00757BA7">
        <w:rPr>
          <w:rFonts w:cs="Times New Roman"/>
          <w:szCs w:val="24"/>
        </w:rPr>
        <w:t>legge 30 settembre 200</w:t>
      </w:r>
      <w:r w:rsidRPr="00757BA7">
        <w:rPr>
          <w:rFonts w:cs="Times New Roman"/>
          <w:szCs w:val="24"/>
        </w:rPr>
        <w:t xml:space="preserve">3, n. 269, </w:t>
      </w:r>
      <w:r w:rsidR="00F0442C" w:rsidRPr="00757BA7">
        <w:rPr>
          <w:rFonts w:cs="Times New Roman"/>
          <w:szCs w:val="24"/>
        </w:rPr>
        <w:t xml:space="preserve">convertito in legge con modificazioni, dall’articolo 1, comma 1, </w:t>
      </w:r>
      <w:r w:rsidR="00F0442C">
        <w:rPr>
          <w:rFonts w:cs="Times New Roman"/>
          <w:szCs w:val="24"/>
        </w:rPr>
        <w:t xml:space="preserve">della </w:t>
      </w:r>
      <w:r w:rsidRPr="00757BA7">
        <w:rPr>
          <w:rFonts w:cs="Times New Roman"/>
          <w:szCs w:val="24"/>
        </w:rPr>
        <w:t>legge 24 novembre 2003, n. 326</w:t>
      </w:r>
      <w:r w:rsidR="007622D1" w:rsidRPr="00757BA7">
        <w:rPr>
          <w:rFonts w:cs="Times New Roman"/>
          <w:szCs w:val="24"/>
        </w:rPr>
        <w:t>, e successive modifiche e integrazioni</w:t>
      </w:r>
      <w:r w:rsidRPr="00757BA7">
        <w:rPr>
          <w:rFonts w:cs="Times New Roman"/>
          <w:szCs w:val="24"/>
        </w:rPr>
        <w:t>;</w:t>
      </w:r>
    </w:p>
    <w:p w:rsidR="007D298B" w:rsidRPr="00757BA7" w:rsidRDefault="007D298B" w:rsidP="00757BA7">
      <w:pPr>
        <w:spacing w:after="120"/>
        <w:rPr>
          <w:rFonts w:cs="Times New Roman"/>
          <w:szCs w:val="24"/>
        </w:rPr>
      </w:pPr>
      <w:r w:rsidRPr="00757BA7">
        <w:rPr>
          <w:rFonts w:cs="Times New Roman"/>
          <w:szCs w:val="24"/>
        </w:rPr>
        <w:t xml:space="preserve">Visto il </w:t>
      </w:r>
      <w:r w:rsidR="00215C69">
        <w:rPr>
          <w:rFonts w:cs="Times New Roman"/>
          <w:szCs w:val="24"/>
        </w:rPr>
        <w:t>decreto</w:t>
      </w:r>
      <w:r w:rsidRPr="00757BA7">
        <w:rPr>
          <w:rFonts w:cs="Times New Roman"/>
          <w:szCs w:val="24"/>
        </w:rPr>
        <w:t xml:space="preserve">-legge 23 febbraio 2020, n. 6, </w:t>
      </w:r>
      <w:r w:rsidR="00F0442C" w:rsidRPr="00757BA7">
        <w:rPr>
          <w:rFonts w:cs="Times New Roman"/>
          <w:szCs w:val="24"/>
        </w:rPr>
        <w:t xml:space="preserve">convertito in legge con modificazioni, dall’articolo 1, comma 1, </w:t>
      </w:r>
      <w:r w:rsidRPr="00757BA7">
        <w:rPr>
          <w:rFonts w:cs="Times New Roman"/>
          <w:szCs w:val="24"/>
        </w:rPr>
        <w:t>d</w:t>
      </w:r>
      <w:r w:rsidR="00F0442C">
        <w:rPr>
          <w:rFonts w:cs="Times New Roman"/>
          <w:szCs w:val="24"/>
        </w:rPr>
        <w:t>e</w:t>
      </w:r>
      <w:r w:rsidRPr="00757BA7">
        <w:rPr>
          <w:rFonts w:cs="Times New Roman"/>
          <w:szCs w:val="24"/>
        </w:rPr>
        <w:t>lla legge 5 marzo 2020, n. 13;</w:t>
      </w:r>
    </w:p>
    <w:p w:rsidR="007D298B" w:rsidRPr="00757BA7" w:rsidRDefault="007D298B" w:rsidP="00757BA7">
      <w:pPr>
        <w:spacing w:after="120"/>
        <w:rPr>
          <w:rFonts w:cs="Times New Roman"/>
          <w:szCs w:val="24"/>
        </w:rPr>
      </w:pPr>
      <w:r w:rsidRPr="00757BA7">
        <w:rPr>
          <w:rFonts w:cs="Times New Roman"/>
          <w:szCs w:val="24"/>
        </w:rPr>
        <w:t xml:space="preserve">Visto il </w:t>
      </w:r>
      <w:r w:rsidR="00215C69">
        <w:rPr>
          <w:rFonts w:cs="Times New Roman"/>
          <w:szCs w:val="24"/>
        </w:rPr>
        <w:t>decreto</w:t>
      </w:r>
      <w:r w:rsidRPr="00757BA7">
        <w:rPr>
          <w:rFonts w:cs="Times New Roman"/>
          <w:szCs w:val="24"/>
        </w:rPr>
        <w:t>-legge 2 marzo 2020, n. 9</w:t>
      </w:r>
      <w:r w:rsidR="00D9250B" w:rsidRPr="00757BA7">
        <w:rPr>
          <w:rFonts w:cs="Times New Roman"/>
          <w:szCs w:val="24"/>
        </w:rPr>
        <w:t>, in corso di conversione</w:t>
      </w:r>
      <w:r w:rsidRPr="00757BA7">
        <w:rPr>
          <w:rFonts w:cs="Times New Roman"/>
          <w:szCs w:val="24"/>
        </w:rPr>
        <w:t>;</w:t>
      </w:r>
    </w:p>
    <w:p w:rsidR="007D298B" w:rsidRPr="00757BA7" w:rsidRDefault="007D298B" w:rsidP="00757BA7">
      <w:pPr>
        <w:spacing w:after="120"/>
        <w:rPr>
          <w:rFonts w:cs="Times New Roman"/>
          <w:szCs w:val="24"/>
        </w:rPr>
      </w:pPr>
      <w:r w:rsidRPr="00757BA7">
        <w:rPr>
          <w:rFonts w:cs="Times New Roman"/>
          <w:szCs w:val="24"/>
        </w:rPr>
        <w:t xml:space="preserve">Visto il </w:t>
      </w:r>
      <w:r w:rsidR="00215C69">
        <w:rPr>
          <w:rFonts w:cs="Times New Roman"/>
          <w:szCs w:val="24"/>
        </w:rPr>
        <w:t>decreto</w:t>
      </w:r>
      <w:r w:rsidRPr="00757BA7">
        <w:rPr>
          <w:rFonts w:cs="Times New Roman"/>
          <w:szCs w:val="24"/>
        </w:rPr>
        <w:t>-legge 8 marzo 2020, n. 11</w:t>
      </w:r>
      <w:r w:rsidR="00D9250B" w:rsidRPr="00757BA7">
        <w:rPr>
          <w:rFonts w:cs="Times New Roman"/>
          <w:szCs w:val="24"/>
        </w:rPr>
        <w:t>, in corso di conversione</w:t>
      </w:r>
      <w:r w:rsidRPr="00757BA7">
        <w:rPr>
          <w:rFonts w:cs="Times New Roman"/>
          <w:szCs w:val="24"/>
        </w:rPr>
        <w:t>;</w:t>
      </w:r>
    </w:p>
    <w:p w:rsidR="007D298B" w:rsidRPr="00757BA7" w:rsidRDefault="007D298B" w:rsidP="00757BA7">
      <w:pPr>
        <w:spacing w:after="120"/>
        <w:rPr>
          <w:rFonts w:cs="Times New Roman"/>
          <w:szCs w:val="24"/>
        </w:rPr>
      </w:pPr>
      <w:r w:rsidRPr="00757BA7">
        <w:rPr>
          <w:rFonts w:cs="Times New Roman"/>
          <w:szCs w:val="24"/>
        </w:rPr>
        <w:t xml:space="preserve">Visto il </w:t>
      </w:r>
      <w:r w:rsidR="00215C69">
        <w:rPr>
          <w:rFonts w:cs="Times New Roman"/>
          <w:szCs w:val="24"/>
        </w:rPr>
        <w:t>decreto</w:t>
      </w:r>
      <w:r w:rsidRPr="00757BA7">
        <w:rPr>
          <w:rFonts w:cs="Times New Roman"/>
          <w:szCs w:val="24"/>
        </w:rPr>
        <w:t>-legge 9 marzo 2020, n. 14</w:t>
      </w:r>
      <w:r w:rsidR="00D9250B" w:rsidRPr="00757BA7">
        <w:rPr>
          <w:rFonts w:cs="Times New Roman"/>
          <w:szCs w:val="24"/>
        </w:rPr>
        <w:t>, in corso di conversione</w:t>
      </w:r>
      <w:r w:rsidRPr="00757BA7">
        <w:rPr>
          <w:rFonts w:cs="Times New Roman"/>
          <w:szCs w:val="24"/>
        </w:rPr>
        <w:t>;</w:t>
      </w:r>
    </w:p>
    <w:p w:rsidR="007D298B" w:rsidRPr="00757BA7" w:rsidRDefault="007D298B" w:rsidP="00757BA7">
      <w:pPr>
        <w:spacing w:after="120"/>
        <w:rPr>
          <w:rFonts w:cs="Times New Roman"/>
          <w:szCs w:val="24"/>
        </w:rPr>
      </w:pPr>
      <w:r w:rsidRPr="00757BA7">
        <w:rPr>
          <w:rFonts w:cs="Times New Roman"/>
          <w:szCs w:val="24"/>
        </w:rPr>
        <w:t xml:space="preserve">Visto il </w:t>
      </w:r>
      <w:r w:rsidR="00215C69">
        <w:rPr>
          <w:rFonts w:cs="Times New Roman"/>
          <w:szCs w:val="24"/>
        </w:rPr>
        <w:t>decreto</w:t>
      </w:r>
      <w:r w:rsidR="00012C04">
        <w:rPr>
          <w:rFonts w:cs="Times New Roman"/>
          <w:szCs w:val="24"/>
        </w:rPr>
        <w:t>-legge 17</w:t>
      </w:r>
      <w:r w:rsidRPr="00757BA7">
        <w:rPr>
          <w:rFonts w:cs="Times New Roman"/>
          <w:szCs w:val="24"/>
        </w:rPr>
        <w:t xml:space="preserve"> marzo 2020, n. 18</w:t>
      </w:r>
      <w:r w:rsidR="00D9250B" w:rsidRPr="00757BA7">
        <w:rPr>
          <w:rFonts w:cs="Times New Roman"/>
          <w:szCs w:val="24"/>
        </w:rPr>
        <w:t>, in corso di conversione</w:t>
      </w:r>
      <w:r w:rsidRPr="00757BA7">
        <w:rPr>
          <w:rFonts w:cs="Times New Roman"/>
          <w:szCs w:val="24"/>
        </w:rPr>
        <w:t>;</w:t>
      </w:r>
    </w:p>
    <w:p w:rsidR="00D9250B" w:rsidRPr="00757BA7" w:rsidRDefault="00BE63D4" w:rsidP="00757BA7">
      <w:pPr>
        <w:spacing w:after="120"/>
        <w:rPr>
          <w:rFonts w:cs="Times New Roman"/>
          <w:szCs w:val="24"/>
        </w:rPr>
      </w:pPr>
      <w:r w:rsidRPr="00757BA7">
        <w:rPr>
          <w:rFonts w:cs="Times New Roman"/>
          <w:szCs w:val="24"/>
        </w:rPr>
        <w:t xml:space="preserve">Vista la </w:t>
      </w:r>
      <w:r w:rsidR="00100B83" w:rsidRPr="00757BA7">
        <w:rPr>
          <w:rFonts w:cs="Times New Roman"/>
          <w:szCs w:val="24"/>
        </w:rPr>
        <w:t xml:space="preserve">Comunicazione della Commissione </w:t>
      </w:r>
      <w:r w:rsidR="0096103D">
        <w:rPr>
          <w:rFonts w:cs="Times New Roman"/>
          <w:szCs w:val="24"/>
        </w:rPr>
        <w:t>euro</w:t>
      </w:r>
      <w:r w:rsidR="00100B83" w:rsidRPr="00757BA7">
        <w:rPr>
          <w:rFonts w:cs="Times New Roman"/>
          <w:szCs w:val="24"/>
        </w:rPr>
        <w:t xml:space="preserve">pea del </w:t>
      </w:r>
      <w:r w:rsidRPr="00757BA7">
        <w:rPr>
          <w:rFonts w:cs="Times New Roman"/>
          <w:szCs w:val="24"/>
        </w:rPr>
        <w:t xml:space="preserve">19 marzo </w:t>
      </w:r>
      <w:r w:rsidR="00100B83" w:rsidRPr="00757BA7">
        <w:rPr>
          <w:rFonts w:cs="Times New Roman"/>
          <w:szCs w:val="24"/>
        </w:rPr>
        <w:t>2020 recante un “Quadro temporaneo per le misure di aiuto di Stato a sostegno dell’</w:t>
      </w:r>
      <w:r w:rsidR="00E37032">
        <w:rPr>
          <w:rFonts w:cs="Times New Roman"/>
          <w:szCs w:val="24"/>
        </w:rPr>
        <w:t>economia</w:t>
      </w:r>
      <w:r w:rsidR="00100B83" w:rsidRPr="00757BA7">
        <w:rPr>
          <w:rFonts w:cs="Times New Roman"/>
          <w:szCs w:val="24"/>
        </w:rPr>
        <w:t xml:space="preserve"> nell’attuale emergenza del COVID-19”;</w:t>
      </w:r>
    </w:p>
    <w:p w:rsidR="00BE63D4" w:rsidRPr="00757BA7" w:rsidRDefault="00BE63D4" w:rsidP="00757BA7">
      <w:pPr>
        <w:spacing w:after="120"/>
        <w:rPr>
          <w:rFonts w:cs="Times New Roman"/>
          <w:szCs w:val="24"/>
        </w:rPr>
      </w:pPr>
      <w:r w:rsidRPr="00757BA7">
        <w:rPr>
          <w:rFonts w:cs="Times New Roman"/>
          <w:szCs w:val="24"/>
        </w:rPr>
        <w:t xml:space="preserve">Vista la Comunicazione della Commissione </w:t>
      </w:r>
      <w:r w:rsidR="0096103D">
        <w:rPr>
          <w:rFonts w:cs="Times New Roman"/>
          <w:szCs w:val="24"/>
        </w:rPr>
        <w:t>euro</w:t>
      </w:r>
      <w:r w:rsidRPr="00757BA7">
        <w:rPr>
          <w:rFonts w:cs="Times New Roman"/>
          <w:szCs w:val="24"/>
        </w:rPr>
        <w:t xml:space="preserve">pea del 3 aprile 2020 recante </w:t>
      </w:r>
      <w:r w:rsidR="00F0442C">
        <w:rPr>
          <w:rFonts w:cs="Times New Roman"/>
          <w:szCs w:val="24"/>
        </w:rPr>
        <w:t>“M</w:t>
      </w:r>
      <w:r w:rsidR="00FF4907" w:rsidRPr="00757BA7">
        <w:rPr>
          <w:rFonts w:cs="Times New Roman"/>
          <w:szCs w:val="24"/>
        </w:rPr>
        <w:t>odifica del</w:t>
      </w:r>
      <w:r w:rsidRPr="00757BA7">
        <w:rPr>
          <w:rFonts w:cs="Times New Roman"/>
          <w:szCs w:val="24"/>
        </w:rPr>
        <w:t xml:space="preserve"> </w:t>
      </w:r>
      <w:r w:rsidR="00F0442C">
        <w:rPr>
          <w:rFonts w:cs="Times New Roman"/>
          <w:szCs w:val="24"/>
        </w:rPr>
        <w:t>q</w:t>
      </w:r>
      <w:r w:rsidRPr="00757BA7">
        <w:rPr>
          <w:rFonts w:cs="Times New Roman"/>
          <w:szCs w:val="24"/>
        </w:rPr>
        <w:t>uadro temporaneo per le misure di aiuto di Stato a sostegno dell’</w:t>
      </w:r>
      <w:r w:rsidR="00E37032">
        <w:rPr>
          <w:rFonts w:cs="Times New Roman"/>
          <w:szCs w:val="24"/>
        </w:rPr>
        <w:t>economia</w:t>
      </w:r>
      <w:r w:rsidRPr="00757BA7">
        <w:rPr>
          <w:rFonts w:cs="Times New Roman"/>
          <w:szCs w:val="24"/>
        </w:rPr>
        <w:t xml:space="preserve"> nell’attuale emergenza del COVID-19”;</w:t>
      </w:r>
    </w:p>
    <w:p w:rsidR="007D298B" w:rsidRPr="00757BA7" w:rsidRDefault="007D298B" w:rsidP="00757BA7">
      <w:pPr>
        <w:spacing w:after="120"/>
        <w:rPr>
          <w:rFonts w:cs="Times New Roman"/>
          <w:szCs w:val="24"/>
        </w:rPr>
      </w:pPr>
      <w:r w:rsidRPr="00757BA7">
        <w:rPr>
          <w:rFonts w:cs="Times New Roman"/>
          <w:szCs w:val="24"/>
        </w:rPr>
        <w:t>Ritenuta la straordinaria necessità e urgenza di contenere gli effetti negativi che l’emergenza epidemiologica COVID-19 sta producendo sul tessuto socio-</w:t>
      </w:r>
      <w:r w:rsidR="00E37032">
        <w:rPr>
          <w:rFonts w:cs="Times New Roman"/>
          <w:szCs w:val="24"/>
        </w:rPr>
        <w:t>economico</w:t>
      </w:r>
      <w:r w:rsidRPr="00757BA7">
        <w:rPr>
          <w:rFonts w:cs="Times New Roman"/>
          <w:szCs w:val="24"/>
        </w:rPr>
        <w:t xml:space="preserve"> nazionale, prevedendo misure di sostegno alla liquidità delle imprese e di copertura di rischi di mercato particolarmente significativi;</w:t>
      </w:r>
    </w:p>
    <w:p w:rsidR="00DA5106" w:rsidRPr="00757BA7" w:rsidRDefault="00DA5106" w:rsidP="00757BA7">
      <w:pPr>
        <w:spacing w:after="120"/>
        <w:rPr>
          <w:rFonts w:cs="Times New Roman"/>
          <w:szCs w:val="24"/>
        </w:rPr>
      </w:pPr>
      <w:r w:rsidRPr="00757BA7">
        <w:rPr>
          <w:rFonts w:cs="Times New Roman"/>
          <w:szCs w:val="24"/>
        </w:rPr>
        <w:t>Considerata, a tal fine, l’esigenza di rafforzare il supporto all’</w:t>
      </w:r>
      <w:r w:rsidRPr="00757BA7">
        <w:rPr>
          <w:rFonts w:cs="Times New Roman"/>
          <w:i/>
          <w:szCs w:val="24"/>
        </w:rPr>
        <w:t>export</w:t>
      </w:r>
      <w:r w:rsidRPr="00757BA7">
        <w:rPr>
          <w:rFonts w:cs="Times New Roman"/>
          <w:szCs w:val="24"/>
        </w:rPr>
        <w:t xml:space="preserve"> e all’internalizzazione delle imprese </w:t>
      </w:r>
      <w:r w:rsidR="00887ABA" w:rsidRPr="00757BA7">
        <w:rPr>
          <w:rFonts w:cs="Times New Roman"/>
          <w:szCs w:val="24"/>
        </w:rPr>
        <w:t>mediante adozione</w:t>
      </w:r>
      <w:r w:rsidRPr="00757BA7">
        <w:rPr>
          <w:rFonts w:cs="Times New Roman"/>
          <w:szCs w:val="24"/>
        </w:rPr>
        <w:t xml:space="preserve"> del meccanismo di assunzione diretta a carico dello Stato di una </w:t>
      </w:r>
      <w:r w:rsidRPr="00757BA7">
        <w:rPr>
          <w:rFonts w:cs="Times New Roman"/>
          <w:szCs w:val="24"/>
        </w:rPr>
        <w:lastRenderedPageBreak/>
        <w:t>quota preponderante deg</w:t>
      </w:r>
      <w:r w:rsidR="00C92D8E">
        <w:rPr>
          <w:rFonts w:cs="Times New Roman"/>
          <w:szCs w:val="24"/>
        </w:rPr>
        <w:t>li impegni derivanti dall’attività</w:t>
      </w:r>
      <w:r w:rsidRPr="00757BA7">
        <w:rPr>
          <w:rFonts w:cs="Times New Roman"/>
          <w:szCs w:val="24"/>
        </w:rPr>
        <w:t xml:space="preserve"> assicurativa </w:t>
      </w:r>
      <w:r w:rsidR="000B2013" w:rsidRPr="00757BA7">
        <w:rPr>
          <w:rFonts w:cs="Times New Roman"/>
          <w:szCs w:val="24"/>
        </w:rPr>
        <w:t xml:space="preserve">di SACE S.p.A. </w:t>
      </w:r>
      <w:r w:rsidRPr="00757BA7">
        <w:rPr>
          <w:rFonts w:cs="Times New Roman"/>
          <w:szCs w:val="24"/>
        </w:rPr>
        <w:t>per i rischi definiti non di</w:t>
      </w:r>
      <w:r w:rsidR="00100B83" w:rsidRPr="00757BA7">
        <w:rPr>
          <w:rFonts w:cs="Times New Roman"/>
          <w:szCs w:val="24"/>
        </w:rPr>
        <w:t xml:space="preserve"> </w:t>
      </w:r>
      <w:r w:rsidRPr="00757BA7">
        <w:rPr>
          <w:rFonts w:cs="Times New Roman"/>
          <w:szCs w:val="24"/>
        </w:rPr>
        <w:t xml:space="preserve">mercato ai sensi della normativa dell’Unione </w:t>
      </w:r>
      <w:r w:rsidR="0096103D">
        <w:rPr>
          <w:rFonts w:cs="Times New Roman"/>
          <w:szCs w:val="24"/>
        </w:rPr>
        <w:t>euro</w:t>
      </w:r>
      <w:r w:rsidRPr="00757BA7">
        <w:rPr>
          <w:rFonts w:cs="Times New Roman"/>
          <w:szCs w:val="24"/>
        </w:rPr>
        <w:t xml:space="preserve">pea; </w:t>
      </w:r>
    </w:p>
    <w:p w:rsidR="00BE63D4" w:rsidRPr="00757BA7" w:rsidRDefault="00BE63D4" w:rsidP="00757BA7">
      <w:pPr>
        <w:spacing w:after="120"/>
        <w:rPr>
          <w:rFonts w:cs="Times New Roman"/>
          <w:szCs w:val="24"/>
        </w:rPr>
      </w:pPr>
      <w:r w:rsidRPr="00757BA7">
        <w:rPr>
          <w:rFonts w:cs="Times New Roman"/>
          <w:szCs w:val="24"/>
        </w:rPr>
        <w:t>Considerata l’esigenza</w:t>
      </w:r>
      <w:r w:rsidR="006608F5" w:rsidRPr="00757BA7">
        <w:rPr>
          <w:rFonts w:cs="Times New Roman"/>
          <w:szCs w:val="24"/>
        </w:rPr>
        <w:t>, a fronte dei significativi impatti economici derivanti dall’emergenza sanitaria,</w:t>
      </w:r>
      <w:r w:rsidRPr="00757BA7">
        <w:rPr>
          <w:rFonts w:cs="Times New Roman"/>
          <w:szCs w:val="24"/>
        </w:rPr>
        <w:t xml:space="preserve"> di </w:t>
      </w:r>
      <w:r w:rsidR="006608F5" w:rsidRPr="00757BA7">
        <w:rPr>
          <w:rFonts w:cs="Times New Roman"/>
          <w:szCs w:val="24"/>
        </w:rPr>
        <w:t>prevedere misure specifiche per l’anno 2020 per</w:t>
      </w:r>
      <w:r w:rsidRPr="00757BA7">
        <w:rPr>
          <w:rFonts w:cs="Times New Roman"/>
          <w:szCs w:val="24"/>
        </w:rPr>
        <w:t xml:space="preserve"> il rilascio della garanzia dello Stato per operazioni di esportazione in alcuni settori</w:t>
      </w:r>
      <w:r w:rsidR="006608F5" w:rsidRPr="00757BA7">
        <w:rPr>
          <w:rFonts w:cs="Times New Roman"/>
          <w:szCs w:val="24"/>
        </w:rPr>
        <w:t>;</w:t>
      </w:r>
    </w:p>
    <w:p w:rsidR="00DA5106" w:rsidRPr="00757BA7" w:rsidRDefault="00DA5106" w:rsidP="00757BA7">
      <w:pPr>
        <w:spacing w:after="120"/>
        <w:rPr>
          <w:rFonts w:cs="Times New Roman"/>
          <w:szCs w:val="24"/>
        </w:rPr>
      </w:pPr>
      <w:r w:rsidRPr="00757BA7">
        <w:rPr>
          <w:rFonts w:cs="Times New Roman"/>
          <w:szCs w:val="24"/>
        </w:rPr>
        <w:t>Considerat</w:t>
      </w:r>
      <w:r w:rsidR="00D9250B" w:rsidRPr="00757BA7">
        <w:rPr>
          <w:rFonts w:cs="Times New Roman"/>
          <w:szCs w:val="24"/>
        </w:rPr>
        <w:t>o</w:t>
      </w:r>
      <w:r w:rsidR="000B2013" w:rsidRPr="00757BA7">
        <w:rPr>
          <w:rFonts w:cs="Times New Roman"/>
          <w:szCs w:val="24"/>
        </w:rPr>
        <w:t>,</w:t>
      </w:r>
      <w:r w:rsidRPr="00757BA7">
        <w:rPr>
          <w:rFonts w:cs="Times New Roman"/>
          <w:szCs w:val="24"/>
        </w:rPr>
        <w:t xml:space="preserve"> altresì</w:t>
      </w:r>
      <w:r w:rsidR="000B2013" w:rsidRPr="00757BA7">
        <w:rPr>
          <w:rFonts w:cs="Times New Roman"/>
          <w:szCs w:val="24"/>
        </w:rPr>
        <w:t>,</w:t>
      </w:r>
      <w:r w:rsidRPr="00757BA7">
        <w:rPr>
          <w:rFonts w:cs="Times New Roman"/>
          <w:szCs w:val="24"/>
        </w:rPr>
        <w:t xml:space="preserve"> </w:t>
      </w:r>
      <w:r w:rsidR="00D9250B" w:rsidRPr="00757BA7">
        <w:rPr>
          <w:rFonts w:cs="Times New Roman"/>
          <w:szCs w:val="24"/>
        </w:rPr>
        <w:t>che</w:t>
      </w:r>
      <w:r w:rsidRPr="00757BA7">
        <w:rPr>
          <w:rFonts w:cs="Times New Roman"/>
          <w:szCs w:val="24"/>
        </w:rPr>
        <w:t xml:space="preserve"> SACE</w:t>
      </w:r>
      <w:r w:rsidR="00887ABA" w:rsidRPr="00757BA7">
        <w:rPr>
          <w:rFonts w:cs="Times New Roman"/>
          <w:szCs w:val="24"/>
        </w:rPr>
        <w:t xml:space="preserve"> S.p.A</w:t>
      </w:r>
      <w:r w:rsidR="007E3BD5" w:rsidRPr="00757BA7">
        <w:rPr>
          <w:rFonts w:cs="Times New Roman"/>
          <w:szCs w:val="24"/>
        </w:rPr>
        <w:t>.</w:t>
      </w:r>
      <w:r w:rsidRPr="00757BA7">
        <w:rPr>
          <w:rFonts w:cs="Times New Roman"/>
          <w:szCs w:val="24"/>
        </w:rPr>
        <w:t xml:space="preserve"> in virtù della specializzazione acquisita nella valutazione </w:t>
      </w:r>
      <w:r w:rsidR="00D9250B" w:rsidRPr="00757BA7">
        <w:rPr>
          <w:rFonts w:cs="Times New Roman"/>
          <w:szCs w:val="24"/>
        </w:rPr>
        <w:t>del merito di credito delle aziende e dei rischi, nonché nella determinazione del prezzo congruo delle garanzie, appare il soggetto idoneo a svolgere la funzione di rilascio delle garanzie secondo il regime</w:t>
      </w:r>
      <w:r w:rsidR="00887ABA" w:rsidRPr="00757BA7">
        <w:rPr>
          <w:rFonts w:cs="Times New Roman"/>
          <w:szCs w:val="24"/>
        </w:rPr>
        <w:t xml:space="preserve"> previsto dalla Comunicazione della Commissione </w:t>
      </w:r>
      <w:r w:rsidR="0096103D">
        <w:rPr>
          <w:rFonts w:cs="Times New Roman"/>
          <w:szCs w:val="24"/>
        </w:rPr>
        <w:t>euro</w:t>
      </w:r>
      <w:r w:rsidR="00887ABA" w:rsidRPr="00757BA7">
        <w:rPr>
          <w:rFonts w:cs="Times New Roman"/>
          <w:szCs w:val="24"/>
        </w:rPr>
        <w:t>pea del 19 marzo 2020, ampliando, tramite  la concessione di diritto della garanzia dello Stato sugli impegni da questa assunti</w:t>
      </w:r>
      <w:r w:rsidR="007E3BD5" w:rsidRPr="00757BA7">
        <w:rPr>
          <w:rFonts w:cs="Times New Roman"/>
          <w:szCs w:val="24"/>
        </w:rPr>
        <w:t>, la capacità finanziaria di rilascio di garanzie sul credito e sulla copertura di rischi di mercato</w:t>
      </w:r>
      <w:r w:rsidR="00887ABA" w:rsidRPr="00757BA7">
        <w:rPr>
          <w:rFonts w:cs="Times New Roman"/>
          <w:szCs w:val="24"/>
        </w:rPr>
        <w:t>;</w:t>
      </w:r>
      <w:r w:rsidR="007E3BD5" w:rsidRPr="00757BA7">
        <w:rPr>
          <w:rFonts w:cs="Times New Roman"/>
          <w:szCs w:val="24"/>
        </w:rPr>
        <w:t xml:space="preserve"> </w:t>
      </w:r>
    </w:p>
    <w:p w:rsidR="007D298B" w:rsidRPr="00757BA7" w:rsidRDefault="007D298B" w:rsidP="00757BA7">
      <w:pPr>
        <w:spacing w:after="120"/>
        <w:rPr>
          <w:rFonts w:cs="Times New Roman"/>
          <w:szCs w:val="24"/>
        </w:rPr>
      </w:pPr>
      <w:r w:rsidRPr="00757BA7">
        <w:rPr>
          <w:rFonts w:cs="Times New Roman"/>
          <w:szCs w:val="24"/>
        </w:rPr>
        <w:t>Considerate le deliberazioni adottate dalle Camere in data 11 marzo 2020, con le quali il Governo è stato autorizzato, nel dare attuazione a quanto indicato nella Relazione al Parlamento presentata ai sensi dell'articolo 6, comma 5, della legge 24 dicembre 2012,</w:t>
      </w:r>
      <w:r w:rsidR="000F198E">
        <w:rPr>
          <w:rFonts w:cs="Times New Roman"/>
          <w:szCs w:val="24"/>
        </w:rPr>
        <w:t xml:space="preserve"> n. 243, allo scostamento e all’</w:t>
      </w:r>
      <w:r w:rsidRPr="00757BA7">
        <w:rPr>
          <w:rFonts w:cs="Times New Roman"/>
          <w:szCs w:val="24"/>
        </w:rPr>
        <w:t>aggiornamen</w:t>
      </w:r>
      <w:r w:rsidR="000F198E">
        <w:rPr>
          <w:rFonts w:cs="Times New Roman"/>
          <w:szCs w:val="24"/>
        </w:rPr>
        <w:t>to del piano di rientro verso l’</w:t>
      </w:r>
      <w:r w:rsidRPr="00757BA7">
        <w:rPr>
          <w:rFonts w:cs="Times New Roman"/>
          <w:szCs w:val="24"/>
        </w:rPr>
        <w:t>obiettivo di medio termine per fronteggiare le esigenze sanitarie e socio-economiche derivanti dall'emergenza epidemiologica COVID-19;</w:t>
      </w:r>
    </w:p>
    <w:p w:rsidR="007D298B" w:rsidRPr="00757BA7" w:rsidRDefault="007D298B" w:rsidP="00757BA7">
      <w:pPr>
        <w:spacing w:after="120"/>
        <w:rPr>
          <w:rFonts w:cs="Times New Roman"/>
          <w:szCs w:val="24"/>
        </w:rPr>
      </w:pPr>
      <w:r w:rsidRPr="00757BA7">
        <w:rPr>
          <w:rFonts w:cs="Times New Roman"/>
          <w:szCs w:val="24"/>
        </w:rPr>
        <w:t xml:space="preserve">Vista la deliberazione del Consiglio dei ministri, adottata nella riunione del </w:t>
      </w:r>
      <w:r w:rsidR="00B03738">
        <w:rPr>
          <w:rFonts w:cs="Times New Roman"/>
          <w:szCs w:val="24"/>
        </w:rPr>
        <w:t>[*]</w:t>
      </w:r>
      <w:r w:rsidRPr="00757BA7">
        <w:rPr>
          <w:rFonts w:cs="Times New Roman"/>
          <w:szCs w:val="24"/>
        </w:rPr>
        <w:t xml:space="preserve"> 2020;</w:t>
      </w:r>
    </w:p>
    <w:p w:rsidR="007D298B" w:rsidRPr="00757BA7" w:rsidRDefault="007D298B" w:rsidP="00757BA7">
      <w:pPr>
        <w:spacing w:after="120"/>
        <w:rPr>
          <w:rFonts w:cs="Times New Roman"/>
          <w:szCs w:val="24"/>
        </w:rPr>
      </w:pPr>
      <w:r w:rsidRPr="00757BA7">
        <w:rPr>
          <w:rFonts w:cs="Times New Roman"/>
          <w:szCs w:val="24"/>
        </w:rPr>
        <w:t>Sulla proposta del Presidente del Consiglio d</w:t>
      </w:r>
      <w:r w:rsidR="000F198E">
        <w:rPr>
          <w:rFonts w:cs="Times New Roman"/>
          <w:szCs w:val="24"/>
        </w:rPr>
        <w:t>ei ministri e del Ministro dell’</w:t>
      </w:r>
      <w:r w:rsidR="00E37032">
        <w:rPr>
          <w:rFonts w:cs="Times New Roman"/>
          <w:szCs w:val="24"/>
        </w:rPr>
        <w:t>economia</w:t>
      </w:r>
      <w:r w:rsidRPr="00757BA7">
        <w:rPr>
          <w:rFonts w:cs="Times New Roman"/>
          <w:szCs w:val="24"/>
        </w:rPr>
        <w:t xml:space="preserve"> e delle </w:t>
      </w:r>
      <w:r w:rsidR="00E37032">
        <w:rPr>
          <w:rFonts w:cs="Times New Roman"/>
          <w:szCs w:val="24"/>
        </w:rPr>
        <w:t>finanze</w:t>
      </w:r>
      <w:r w:rsidRPr="00757BA7">
        <w:rPr>
          <w:rFonts w:cs="Times New Roman"/>
          <w:szCs w:val="24"/>
        </w:rPr>
        <w:t>;</w:t>
      </w:r>
      <w:r w:rsidR="006D0FE7" w:rsidRPr="00757BA7">
        <w:rPr>
          <w:rFonts w:cs="Times New Roman"/>
          <w:szCs w:val="24"/>
        </w:rPr>
        <w:t xml:space="preserve"> </w:t>
      </w:r>
    </w:p>
    <w:p w:rsidR="007D298B" w:rsidRPr="00757BA7" w:rsidRDefault="007D298B" w:rsidP="00757BA7">
      <w:pPr>
        <w:spacing w:after="120"/>
        <w:rPr>
          <w:rFonts w:cs="Times New Roman"/>
          <w:szCs w:val="24"/>
        </w:rPr>
      </w:pPr>
    </w:p>
    <w:p w:rsidR="00091E96" w:rsidRDefault="00091E96" w:rsidP="00757BA7">
      <w:pPr>
        <w:spacing w:after="120"/>
        <w:jc w:val="center"/>
        <w:rPr>
          <w:rFonts w:cs="Times New Roman"/>
          <w:szCs w:val="24"/>
        </w:rPr>
      </w:pPr>
      <w:r>
        <w:rPr>
          <w:rFonts w:cs="Times New Roman"/>
          <w:szCs w:val="24"/>
        </w:rPr>
        <w:t>E M AN A</w:t>
      </w:r>
    </w:p>
    <w:p w:rsidR="007D298B" w:rsidRPr="00757BA7" w:rsidRDefault="007D298B" w:rsidP="00757BA7">
      <w:pPr>
        <w:spacing w:after="120"/>
        <w:jc w:val="center"/>
        <w:rPr>
          <w:rFonts w:cs="Times New Roman"/>
          <w:szCs w:val="24"/>
        </w:rPr>
      </w:pPr>
      <w:r w:rsidRPr="00757BA7">
        <w:rPr>
          <w:rFonts w:cs="Times New Roman"/>
          <w:szCs w:val="24"/>
        </w:rPr>
        <w:t xml:space="preserve">il seguente </w:t>
      </w:r>
      <w:r w:rsidR="00215C69">
        <w:rPr>
          <w:rFonts w:cs="Times New Roman"/>
          <w:szCs w:val="24"/>
        </w:rPr>
        <w:t>decreto</w:t>
      </w:r>
      <w:r w:rsidRPr="00757BA7">
        <w:rPr>
          <w:rFonts w:cs="Times New Roman"/>
          <w:szCs w:val="24"/>
        </w:rPr>
        <w:t>-legge:</w:t>
      </w:r>
    </w:p>
    <w:p w:rsidR="001A2AAE" w:rsidRPr="00757BA7" w:rsidRDefault="001A2AAE" w:rsidP="00757BA7">
      <w:pPr>
        <w:spacing w:after="120"/>
        <w:rPr>
          <w:rFonts w:cs="Times New Roman"/>
          <w:szCs w:val="24"/>
        </w:rPr>
      </w:pPr>
    </w:p>
    <w:p w:rsidR="005A44F6" w:rsidRPr="00757BA7" w:rsidRDefault="0078575A" w:rsidP="005A44F6">
      <w:pPr>
        <w:spacing w:after="120"/>
        <w:jc w:val="center"/>
        <w:rPr>
          <w:rFonts w:cs="Times New Roman"/>
          <w:szCs w:val="24"/>
        </w:rPr>
      </w:pPr>
      <w:r>
        <w:rPr>
          <w:rFonts w:cs="Times New Roman"/>
          <w:szCs w:val="24"/>
        </w:rPr>
        <w:t>Articolo 1</w:t>
      </w:r>
    </w:p>
    <w:p w:rsidR="005A44F6" w:rsidRPr="00757BA7" w:rsidRDefault="005A44F6" w:rsidP="005A44F6">
      <w:pPr>
        <w:spacing w:after="120"/>
        <w:jc w:val="center"/>
        <w:rPr>
          <w:rFonts w:cs="Times New Roman"/>
          <w:szCs w:val="24"/>
        </w:rPr>
      </w:pPr>
      <w:r w:rsidRPr="00757BA7">
        <w:rPr>
          <w:rFonts w:cs="Times New Roman"/>
          <w:szCs w:val="24"/>
        </w:rPr>
        <w:t>(Misure temporanee per il sostegno alla liquidità delle imprese)</w:t>
      </w:r>
    </w:p>
    <w:p w:rsidR="005A44F6" w:rsidRPr="00757BA7" w:rsidRDefault="005A44F6" w:rsidP="005A44F6">
      <w:pPr>
        <w:spacing w:after="120"/>
        <w:rPr>
          <w:rFonts w:cs="Times New Roman"/>
          <w:szCs w:val="24"/>
        </w:rPr>
      </w:pPr>
    </w:p>
    <w:p w:rsidR="005A44F6" w:rsidRPr="00757BA7" w:rsidRDefault="005A44F6" w:rsidP="005A44F6">
      <w:pPr>
        <w:spacing w:after="120"/>
        <w:rPr>
          <w:rFonts w:cs="Times New Roman"/>
          <w:szCs w:val="24"/>
        </w:rPr>
      </w:pPr>
      <w:r w:rsidRPr="00757BA7">
        <w:rPr>
          <w:rFonts w:cs="Times New Roman"/>
          <w:szCs w:val="24"/>
        </w:rPr>
        <w:t xml:space="preserve">1. Al fine di assicurare la necessaria liquidità alle imprese con sede in Italia, colpite dall’epidemia Covid-19, diverse dalle banche e altri soggetti autorizzati all’esercizio del </w:t>
      </w:r>
      <w:r w:rsidRPr="00757BA7">
        <w:rPr>
          <w:rFonts w:cs="Times New Roman"/>
          <w:szCs w:val="24"/>
        </w:rPr>
        <w:lastRenderedPageBreak/>
        <w:t>credito</w:t>
      </w:r>
      <w:r>
        <w:rPr>
          <w:rFonts w:cs="Times New Roman"/>
          <w:szCs w:val="24"/>
        </w:rPr>
        <w:t>,</w:t>
      </w:r>
      <w:r w:rsidRPr="00757BA7">
        <w:rPr>
          <w:rFonts w:cs="Times New Roman"/>
          <w:szCs w:val="24"/>
        </w:rPr>
        <w:t xml:space="preserve"> SACE S.p.A. concede fino al 31 dicembre 2020 garanzie, </w:t>
      </w:r>
      <w:r w:rsidRPr="00A3461C">
        <w:rPr>
          <w:rFonts w:cs="Times New Roman"/>
          <w:szCs w:val="24"/>
        </w:rPr>
        <w:t>in</w:t>
      </w:r>
      <w:r w:rsidRPr="00757BA7">
        <w:rPr>
          <w:rFonts w:cs="Times New Roman"/>
          <w:szCs w:val="24"/>
        </w:rPr>
        <w:t xml:space="preserve"> conformità con la normativa </w:t>
      </w:r>
      <w:r>
        <w:rPr>
          <w:rFonts w:cs="Times New Roman"/>
          <w:szCs w:val="24"/>
        </w:rPr>
        <w:t>euro</w:t>
      </w:r>
      <w:r w:rsidRPr="00757BA7">
        <w:rPr>
          <w:rFonts w:cs="Times New Roman"/>
          <w:szCs w:val="24"/>
        </w:rPr>
        <w:t xml:space="preserve">pea in tema di aiuti di Stato e nel rispetto dei criteri e delle condizioni previste dai commi da 2 a 11, in favore di banche, di istituzioni finanziarie nazionali e internazionali e degli altri soggetti abilitati all’esercizio del credito in Italia, per finanziamenti sotto qualsiasi forma alle suddette imprese. Gli impegni assunti dalla SACE </w:t>
      </w:r>
      <w:r>
        <w:rPr>
          <w:rFonts w:cs="Times New Roman"/>
          <w:szCs w:val="24"/>
        </w:rPr>
        <w:t xml:space="preserve">S.p.A. </w:t>
      </w:r>
      <w:r w:rsidRPr="00757BA7">
        <w:rPr>
          <w:rFonts w:cs="Times New Roman"/>
          <w:szCs w:val="24"/>
        </w:rPr>
        <w:t xml:space="preserve">ai sensi del presente comma non superano l’importo complessivo massimo di 200 miliardi di </w:t>
      </w:r>
      <w:r>
        <w:rPr>
          <w:rFonts w:cs="Times New Roman"/>
          <w:szCs w:val="24"/>
        </w:rPr>
        <w:t>euro</w:t>
      </w:r>
      <w:r w:rsidRPr="00757BA7">
        <w:rPr>
          <w:rFonts w:cs="Times New Roman"/>
          <w:szCs w:val="24"/>
        </w:rPr>
        <w:t xml:space="preserve">, di cui almeno 30 miliardi sono destinati a supporto di piccole e medie imprese come definite dalla Raccomandazione della Commissione </w:t>
      </w:r>
      <w:r>
        <w:rPr>
          <w:rFonts w:cs="Times New Roman"/>
          <w:szCs w:val="24"/>
        </w:rPr>
        <w:t>euro</w:t>
      </w:r>
      <w:r w:rsidRPr="00757BA7">
        <w:rPr>
          <w:rFonts w:cs="Times New Roman"/>
          <w:szCs w:val="24"/>
        </w:rPr>
        <w:t>pea n. 2003/361/CE, ivi inclusi i lavoratori autonomi e i liberi professionisti titolari di partita IVA, che abbiano pienamente utilizzato la loro capacità di accesso al Fondo</w:t>
      </w:r>
      <w:r>
        <w:rPr>
          <w:rFonts w:cs="Times New Roman"/>
          <w:szCs w:val="24"/>
        </w:rPr>
        <w:t xml:space="preserve"> di cui all’articolo 2, comma 100, lettera a), della legge 23 dicembre 1996, n. 662</w:t>
      </w:r>
      <w:r w:rsidR="0094693A">
        <w:rPr>
          <w:rFonts w:cs="Times New Roman"/>
          <w:szCs w:val="24"/>
        </w:rPr>
        <w:t>.</w:t>
      </w:r>
    </w:p>
    <w:p w:rsidR="005A44F6" w:rsidRPr="00757BA7" w:rsidRDefault="005A44F6" w:rsidP="005A44F6">
      <w:pPr>
        <w:spacing w:after="120"/>
        <w:rPr>
          <w:rFonts w:cs="Times New Roman"/>
          <w:szCs w:val="24"/>
        </w:rPr>
      </w:pPr>
      <w:r w:rsidRPr="00757BA7">
        <w:rPr>
          <w:rFonts w:cs="Times New Roman"/>
          <w:szCs w:val="24"/>
        </w:rPr>
        <w:t>2. Le garanzie di cui al comma 1 sono rilasciate alle seguenti condizioni:</w:t>
      </w:r>
    </w:p>
    <w:p w:rsidR="005A44F6" w:rsidRPr="00757BA7" w:rsidRDefault="001A0DCE" w:rsidP="001A0DCE">
      <w:pPr>
        <w:spacing w:after="120"/>
        <w:ind w:left="709" w:hanging="425"/>
        <w:rPr>
          <w:rFonts w:cs="Times New Roman"/>
          <w:szCs w:val="24"/>
        </w:rPr>
      </w:pPr>
      <w:r>
        <w:rPr>
          <w:rFonts w:cs="Times New Roman"/>
          <w:szCs w:val="24"/>
        </w:rPr>
        <w:t>a)</w:t>
      </w:r>
      <w:r>
        <w:rPr>
          <w:rFonts w:cs="Times New Roman"/>
          <w:szCs w:val="24"/>
        </w:rPr>
        <w:tab/>
      </w:r>
      <w:r w:rsidR="005A44F6" w:rsidRPr="00757BA7">
        <w:rPr>
          <w:rFonts w:cs="Times New Roman"/>
          <w:szCs w:val="24"/>
        </w:rPr>
        <w:t>la garanzia è rilasciata entro il 31 dicembre 2020, per finanziamenti di durata non superiore a 6 anni, con la possibilità per le imprese di avvalersi di un preammortamento di durata fino a 24 mesi;</w:t>
      </w:r>
    </w:p>
    <w:p w:rsidR="005A44F6" w:rsidRPr="00757BA7" w:rsidRDefault="001A0DCE" w:rsidP="001A0DCE">
      <w:pPr>
        <w:spacing w:after="120"/>
        <w:ind w:left="709" w:hanging="425"/>
        <w:rPr>
          <w:rFonts w:cs="Times New Roman"/>
          <w:szCs w:val="24"/>
        </w:rPr>
      </w:pPr>
      <w:r>
        <w:rPr>
          <w:rFonts w:cs="Times New Roman"/>
          <w:szCs w:val="24"/>
        </w:rPr>
        <w:t>b)</w:t>
      </w:r>
      <w:r>
        <w:rPr>
          <w:rFonts w:cs="Times New Roman"/>
          <w:szCs w:val="24"/>
        </w:rPr>
        <w:tab/>
      </w:r>
      <w:r w:rsidR="005A44F6" w:rsidRPr="00757BA7">
        <w:rPr>
          <w:rFonts w:cs="Times New Roman"/>
          <w:szCs w:val="24"/>
        </w:rPr>
        <w:t>al 31 dicembre 2019 l’impresa beneficiaria non rientrava nella categoria delle imprese in difficoltà ai sensi del Regolamento (UE) n. 651/2014 della Commissione, del 17 giugno 2014, e alla data del 29 febbraio 2020 non risultava presente tra le</w:t>
      </w:r>
      <w:r w:rsidR="005A44F6">
        <w:rPr>
          <w:rFonts w:cs="Times New Roman"/>
          <w:szCs w:val="24"/>
        </w:rPr>
        <w:t xml:space="preserve"> esposizioni deteriorate della b</w:t>
      </w:r>
      <w:r w:rsidR="005A44F6" w:rsidRPr="00757BA7">
        <w:rPr>
          <w:rFonts w:cs="Times New Roman"/>
          <w:szCs w:val="24"/>
        </w:rPr>
        <w:t xml:space="preserve">anca, come definite ai sensi della normativa </w:t>
      </w:r>
      <w:r w:rsidR="005A44F6">
        <w:rPr>
          <w:rFonts w:cs="Times New Roman"/>
          <w:szCs w:val="24"/>
        </w:rPr>
        <w:t>euro</w:t>
      </w:r>
      <w:r w:rsidR="005A44F6" w:rsidRPr="00757BA7">
        <w:rPr>
          <w:rFonts w:cs="Times New Roman"/>
          <w:szCs w:val="24"/>
        </w:rPr>
        <w:t>pea;</w:t>
      </w:r>
    </w:p>
    <w:p w:rsidR="005A44F6" w:rsidRPr="00757BA7" w:rsidRDefault="001A0DCE" w:rsidP="001A0DCE">
      <w:pPr>
        <w:spacing w:after="120"/>
        <w:ind w:firstLine="284"/>
        <w:rPr>
          <w:rFonts w:cs="Times New Roman"/>
          <w:szCs w:val="24"/>
        </w:rPr>
      </w:pPr>
      <w:r>
        <w:rPr>
          <w:rFonts w:cs="Times New Roman"/>
          <w:szCs w:val="24"/>
        </w:rPr>
        <w:t>c)</w:t>
      </w:r>
      <w:r>
        <w:rPr>
          <w:rFonts w:cs="Times New Roman"/>
          <w:szCs w:val="24"/>
        </w:rPr>
        <w:tab/>
      </w:r>
      <w:r w:rsidR="005A44F6" w:rsidRPr="00757BA7">
        <w:rPr>
          <w:rFonts w:cs="Times New Roman"/>
          <w:szCs w:val="24"/>
        </w:rPr>
        <w:t>l’importo del prestito assistito da garanzia non è superiore al maggiore tra i seguenti elementi:</w:t>
      </w:r>
      <w:r>
        <w:rPr>
          <w:rFonts w:cs="Times New Roman"/>
          <w:szCs w:val="24"/>
        </w:rPr>
        <w:t xml:space="preserve"> </w:t>
      </w:r>
    </w:p>
    <w:p w:rsidR="005A44F6" w:rsidRPr="00757BA7" w:rsidRDefault="001A0DCE" w:rsidP="001A0DCE">
      <w:pPr>
        <w:spacing w:after="120"/>
        <w:ind w:left="708"/>
        <w:rPr>
          <w:rFonts w:eastAsia="Times New Roman" w:cs="Times New Roman"/>
          <w:szCs w:val="24"/>
        </w:rPr>
      </w:pPr>
      <w:r>
        <w:rPr>
          <w:rFonts w:eastAsia="Times New Roman" w:cs="Times New Roman"/>
          <w:szCs w:val="24"/>
        </w:rPr>
        <w:t xml:space="preserve">1) </w:t>
      </w:r>
      <w:r w:rsidR="005A44F6" w:rsidRPr="00757BA7">
        <w:rPr>
          <w:rFonts w:eastAsia="Times New Roman" w:cs="Times New Roman"/>
          <w:szCs w:val="24"/>
        </w:rPr>
        <w:t xml:space="preserve">25% del fatturato annuo dell'impresa relativi al 2019, come risultante dal bilancio approvato </w:t>
      </w:r>
      <w:r w:rsidR="005A44F6" w:rsidRPr="00757BA7">
        <w:rPr>
          <w:rFonts w:cs="Times New Roman"/>
          <w:szCs w:val="24"/>
        </w:rPr>
        <w:t>ovvero dai dati certificati se l’impresa non ha ancora approvato il bilancio</w:t>
      </w:r>
      <w:r w:rsidR="005A44F6" w:rsidRPr="00757BA7">
        <w:rPr>
          <w:rFonts w:eastAsia="Times New Roman" w:cs="Times New Roman"/>
          <w:szCs w:val="24"/>
        </w:rPr>
        <w:t>;</w:t>
      </w:r>
    </w:p>
    <w:p w:rsidR="005A44F6" w:rsidRPr="00757BA7" w:rsidRDefault="001A0DCE" w:rsidP="001A0DCE">
      <w:pPr>
        <w:spacing w:after="120"/>
        <w:ind w:left="708"/>
        <w:rPr>
          <w:rFonts w:eastAsia="Times New Roman" w:cs="Times New Roman"/>
          <w:szCs w:val="24"/>
        </w:rPr>
      </w:pPr>
      <w:r>
        <w:rPr>
          <w:rFonts w:eastAsia="Times New Roman" w:cs="Times New Roman"/>
          <w:szCs w:val="24"/>
        </w:rPr>
        <w:t>2)</w:t>
      </w:r>
      <w:r w:rsidR="005A44F6" w:rsidRPr="00757BA7">
        <w:rPr>
          <w:rFonts w:eastAsia="Times New Roman" w:cs="Times New Roman"/>
          <w:szCs w:val="24"/>
        </w:rPr>
        <w:t xml:space="preserve"> il doppio dei costi del personale dell’impresa relativi al 2019, come risultanti dall’ultimo bilancio </w:t>
      </w:r>
      <w:r w:rsidR="005A44F6" w:rsidRPr="00757BA7">
        <w:rPr>
          <w:rFonts w:cs="Times New Roman"/>
          <w:szCs w:val="24"/>
        </w:rPr>
        <w:t>ovvero dai dati certificati se l’impresa non ha ancora approvato il bilancio</w:t>
      </w:r>
      <w:r w:rsidR="005A44F6">
        <w:rPr>
          <w:rFonts w:cs="Times New Roman"/>
          <w:szCs w:val="24"/>
        </w:rPr>
        <w:t xml:space="preserve">; qualora l’impresa abbia iniziato la propria attività successivamente al 31 dicembre 2018, si fa riferimento ai costi del personale attesi per i primi due anni di attività, come </w:t>
      </w:r>
      <w:r w:rsidR="005A44F6" w:rsidRPr="00FF4907">
        <w:rPr>
          <w:rFonts w:cs="Times New Roman"/>
          <w:szCs w:val="24"/>
        </w:rPr>
        <w:t>documentato e attestato dal rappresentante lega</w:t>
      </w:r>
      <w:r w:rsidR="005A44F6">
        <w:rPr>
          <w:rFonts w:cs="Times New Roman"/>
          <w:szCs w:val="24"/>
        </w:rPr>
        <w:t>le dell’impresa</w:t>
      </w:r>
      <w:r w:rsidR="005A44F6" w:rsidRPr="00757BA7">
        <w:rPr>
          <w:rFonts w:eastAsia="Times New Roman" w:cs="Times New Roman"/>
          <w:szCs w:val="24"/>
        </w:rPr>
        <w:t>.</w:t>
      </w:r>
    </w:p>
    <w:p w:rsidR="005A44F6" w:rsidRPr="00757BA7" w:rsidRDefault="005A44F6" w:rsidP="005A44F6">
      <w:pPr>
        <w:spacing w:after="120"/>
        <w:ind w:left="708" w:firstLine="1"/>
        <w:rPr>
          <w:rFonts w:cs="Times New Roman"/>
          <w:szCs w:val="24"/>
        </w:rPr>
      </w:pPr>
      <w:r w:rsidRPr="00757BA7">
        <w:rPr>
          <w:rFonts w:cs="Times New Roman"/>
          <w:szCs w:val="24"/>
        </w:rPr>
        <w:t xml:space="preserve">Ai fini della verifica del suddetto limite, qualora la medesima impresa sia beneficiaria di più finanziamenti assistiti dalla garanzia di cui al presente articolo ovvero di altra garanzia pubblica, gli importi di detti finanziamenti si cumulano. Qualora la medesima impresa, ovvero il medesimo gruppo quando la prima è parte di un gruppo, siano </w:t>
      </w:r>
      <w:r w:rsidRPr="00757BA7">
        <w:rPr>
          <w:rFonts w:cs="Times New Roman"/>
          <w:szCs w:val="24"/>
        </w:rPr>
        <w:lastRenderedPageBreak/>
        <w:t>beneficiari di più finanziamenti assistiti dalla garanzia di cui al comma 1, gli importi di detti finanziamenti si cumulano.</w:t>
      </w:r>
    </w:p>
    <w:p w:rsidR="005A44F6" w:rsidRPr="00757BA7" w:rsidRDefault="005A44F6" w:rsidP="001A0DCE">
      <w:pPr>
        <w:spacing w:after="120"/>
        <w:ind w:firstLine="284"/>
        <w:rPr>
          <w:rFonts w:cs="Times New Roman"/>
          <w:szCs w:val="24"/>
        </w:rPr>
      </w:pPr>
      <w:r w:rsidRPr="00757BA7">
        <w:rPr>
          <w:rFonts w:eastAsia="Times New Roman" w:cs="Times New Roman"/>
          <w:szCs w:val="24"/>
        </w:rPr>
        <w:t>d)</w:t>
      </w:r>
      <w:r w:rsidR="001A0DCE">
        <w:rPr>
          <w:rFonts w:eastAsia="Times New Roman" w:cs="Times New Roman"/>
          <w:szCs w:val="24"/>
        </w:rPr>
        <w:tab/>
      </w:r>
      <w:r w:rsidRPr="00757BA7">
        <w:rPr>
          <w:rFonts w:eastAsia="Times New Roman" w:cs="Times New Roman"/>
          <w:szCs w:val="24"/>
        </w:rPr>
        <w:t xml:space="preserve">la garanzia, in concorso paritetico e proporzionale tra garante e garantito nelle perdite per mancato rimborso del finanziamento, copre il: </w:t>
      </w:r>
    </w:p>
    <w:p w:rsidR="005A44F6" w:rsidRPr="00757BA7" w:rsidRDefault="001A0DCE" w:rsidP="001A0DCE">
      <w:pPr>
        <w:spacing w:after="120"/>
        <w:ind w:firstLine="709"/>
        <w:rPr>
          <w:rFonts w:eastAsia="Times New Roman" w:cs="Times New Roman"/>
          <w:szCs w:val="24"/>
        </w:rPr>
      </w:pPr>
      <w:r>
        <w:rPr>
          <w:rFonts w:eastAsia="Times New Roman" w:cs="Times New Roman"/>
          <w:szCs w:val="24"/>
        </w:rPr>
        <w:t>1)</w:t>
      </w:r>
      <w:r w:rsidR="005A44F6" w:rsidRPr="00913013">
        <w:rPr>
          <w:rFonts w:eastAsia="Times New Roman" w:cs="Times New Roman"/>
          <w:i/>
          <w:szCs w:val="24"/>
        </w:rPr>
        <w:t xml:space="preserve"> </w:t>
      </w:r>
      <w:r w:rsidR="005A44F6" w:rsidRPr="00913013">
        <w:rPr>
          <w:rFonts w:eastAsia="Times New Roman" w:cs="Times New Roman"/>
          <w:szCs w:val="24"/>
        </w:rPr>
        <w:t>90%</w:t>
      </w:r>
      <w:r w:rsidR="005A44F6" w:rsidRPr="00757BA7">
        <w:rPr>
          <w:rFonts w:eastAsia="Times New Roman" w:cs="Times New Roman"/>
          <w:szCs w:val="24"/>
        </w:rPr>
        <w:t xml:space="preserve"> dell’importo del finanziamento per imprese con meno di 5000 dipendenti in Italia e valore del fatturato fino a 1,5 miliardi di </w:t>
      </w:r>
      <w:r w:rsidR="005A44F6">
        <w:rPr>
          <w:rFonts w:eastAsia="Times New Roman" w:cs="Times New Roman"/>
          <w:szCs w:val="24"/>
        </w:rPr>
        <w:t>euro</w:t>
      </w:r>
      <w:r w:rsidR="005A44F6" w:rsidRPr="00757BA7">
        <w:rPr>
          <w:rFonts w:eastAsia="Times New Roman" w:cs="Times New Roman"/>
          <w:szCs w:val="24"/>
        </w:rPr>
        <w:t>;</w:t>
      </w:r>
    </w:p>
    <w:p w:rsidR="005A44F6" w:rsidRPr="00757BA7" w:rsidRDefault="001A0DCE" w:rsidP="001A0DCE">
      <w:pPr>
        <w:spacing w:after="120"/>
        <w:ind w:left="708"/>
        <w:rPr>
          <w:rFonts w:eastAsia="Times New Roman" w:cs="Times New Roman"/>
          <w:szCs w:val="24"/>
        </w:rPr>
      </w:pPr>
      <w:r>
        <w:rPr>
          <w:rFonts w:eastAsia="Times New Roman" w:cs="Times New Roman"/>
          <w:szCs w:val="24"/>
        </w:rPr>
        <w:t>2)</w:t>
      </w:r>
      <w:r w:rsidR="005A44F6" w:rsidRPr="00913013">
        <w:rPr>
          <w:rFonts w:eastAsia="Times New Roman" w:cs="Times New Roman"/>
          <w:szCs w:val="24"/>
        </w:rPr>
        <w:t xml:space="preserve"> 80%</w:t>
      </w:r>
      <w:r w:rsidR="005A44F6" w:rsidRPr="00757BA7">
        <w:rPr>
          <w:rFonts w:eastAsia="Times New Roman" w:cs="Times New Roman"/>
          <w:szCs w:val="24"/>
        </w:rPr>
        <w:t xml:space="preserve"> dell’importo del finanziamento per imprese con valore del fatturato tra 1,5 miliardi e 5 miliardi di </w:t>
      </w:r>
      <w:r w:rsidR="005A44F6">
        <w:rPr>
          <w:rFonts w:eastAsia="Times New Roman" w:cs="Times New Roman"/>
          <w:szCs w:val="24"/>
        </w:rPr>
        <w:t>euro</w:t>
      </w:r>
      <w:r w:rsidR="005A44F6" w:rsidRPr="00757BA7">
        <w:rPr>
          <w:rFonts w:eastAsia="Times New Roman" w:cs="Times New Roman"/>
          <w:szCs w:val="24"/>
        </w:rPr>
        <w:t xml:space="preserve"> o con più di 5000 dipendenti in Italia;</w:t>
      </w:r>
    </w:p>
    <w:p w:rsidR="005A44F6" w:rsidRPr="00757BA7" w:rsidRDefault="001A0DCE" w:rsidP="001A0DCE">
      <w:pPr>
        <w:spacing w:after="120"/>
        <w:ind w:firstLine="709"/>
        <w:rPr>
          <w:rFonts w:eastAsia="Times New Roman" w:cs="Times New Roman"/>
          <w:szCs w:val="24"/>
        </w:rPr>
      </w:pPr>
      <w:r>
        <w:rPr>
          <w:rFonts w:eastAsia="Times New Roman" w:cs="Times New Roman"/>
          <w:szCs w:val="24"/>
        </w:rPr>
        <w:t>3)</w:t>
      </w:r>
      <w:r w:rsidR="005A44F6" w:rsidRPr="00913013">
        <w:rPr>
          <w:rFonts w:eastAsia="Times New Roman" w:cs="Times New Roman"/>
          <w:szCs w:val="24"/>
        </w:rPr>
        <w:t xml:space="preserve"> 70%</w:t>
      </w:r>
      <w:r w:rsidR="005A44F6" w:rsidRPr="00757BA7">
        <w:rPr>
          <w:rFonts w:eastAsia="Times New Roman" w:cs="Times New Roman"/>
          <w:szCs w:val="24"/>
        </w:rPr>
        <w:t xml:space="preserve"> per le imprese con valore del fatturato superiore a 5 miliardi</w:t>
      </w:r>
      <w:r w:rsidR="005A44F6">
        <w:rPr>
          <w:rFonts w:eastAsia="Times New Roman" w:cs="Times New Roman"/>
          <w:szCs w:val="24"/>
        </w:rPr>
        <w:t>.</w:t>
      </w:r>
    </w:p>
    <w:p w:rsidR="005A44F6" w:rsidRPr="00757BA7" w:rsidRDefault="005A44F6" w:rsidP="001A0DCE">
      <w:pPr>
        <w:spacing w:after="120"/>
        <w:ind w:firstLine="708"/>
        <w:rPr>
          <w:rFonts w:eastAsia="Times New Roman" w:cs="Times New Roman"/>
          <w:i/>
          <w:szCs w:val="24"/>
        </w:rPr>
      </w:pPr>
      <w:r w:rsidRPr="00757BA7">
        <w:rPr>
          <w:rFonts w:eastAsia="Times New Roman" w:cs="Times New Roman"/>
          <w:szCs w:val="24"/>
        </w:rPr>
        <w:t>Le suddette percentuali si applicano sull’importo residuo dovuto, in caso di ammortamento progressivo del finanziamento;</w:t>
      </w:r>
    </w:p>
    <w:p w:rsidR="005A44F6" w:rsidRPr="00757BA7" w:rsidRDefault="001A0DCE" w:rsidP="001A0DCE">
      <w:pPr>
        <w:spacing w:after="120"/>
        <w:ind w:firstLine="284"/>
        <w:rPr>
          <w:rFonts w:cs="Times New Roman"/>
          <w:szCs w:val="24"/>
        </w:rPr>
      </w:pPr>
      <w:r>
        <w:rPr>
          <w:rFonts w:cs="Times New Roman"/>
          <w:szCs w:val="24"/>
        </w:rPr>
        <w:t>e)</w:t>
      </w:r>
      <w:r>
        <w:rPr>
          <w:rFonts w:cs="Times New Roman"/>
          <w:szCs w:val="24"/>
        </w:rPr>
        <w:tab/>
      </w:r>
      <w:r w:rsidR="005A44F6" w:rsidRPr="00757BA7">
        <w:rPr>
          <w:rFonts w:cs="Times New Roman"/>
          <w:szCs w:val="24"/>
        </w:rPr>
        <w:t>le commissioni annuali dovute dalle imprese per il rilascio della garanzia sono le seguenti:</w:t>
      </w:r>
    </w:p>
    <w:p w:rsidR="005A44F6" w:rsidRPr="00757BA7" w:rsidRDefault="001A0DCE" w:rsidP="001A0DCE">
      <w:pPr>
        <w:spacing w:after="120"/>
        <w:ind w:left="708"/>
        <w:rPr>
          <w:rFonts w:cs="Times New Roman"/>
          <w:szCs w:val="24"/>
        </w:rPr>
      </w:pPr>
      <w:r>
        <w:rPr>
          <w:rFonts w:cs="Times New Roman"/>
          <w:szCs w:val="24"/>
        </w:rPr>
        <w:t>1)</w:t>
      </w:r>
      <w:r w:rsidR="005A44F6" w:rsidRPr="00757BA7">
        <w:rPr>
          <w:rFonts w:cs="Times New Roman"/>
          <w:szCs w:val="24"/>
        </w:rPr>
        <w:t xml:space="preserve"> per i finanziamenti di piccole e medie imprese sono corrisposti, in rapporto all’importo garantito, 25 punti base durante il primo anno, 50 punti base durante il secondo e terzo anno, 100 punti base durante il quarto, quinto e sesto anno;</w:t>
      </w:r>
    </w:p>
    <w:p w:rsidR="005A44F6" w:rsidRPr="00757BA7" w:rsidRDefault="001A0DCE" w:rsidP="001A0DCE">
      <w:pPr>
        <w:spacing w:after="120"/>
        <w:ind w:left="708"/>
        <w:rPr>
          <w:rFonts w:cs="Times New Roman"/>
          <w:szCs w:val="24"/>
        </w:rPr>
      </w:pPr>
      <w:r>
        <w:rPr>
          <w:rFonts w:cs="Times New Roman"/>
          <w:szCs w:val="24"/>
        </w:rPr>
        <w:t>2)</w:t>
      </w:r>
      <w:r w:rsidR="005A44F6" w:rsidRPr="00757BA7">
        <w:rPr>
          <w:rFonts w:cs="Times New Roman"/>
          <w:szCs w:val="24"/>
        </w:rPr>
        <w:t xml:space="preserve"> per i finanziamenti di imprese diverse dalle piccole e medie imprese sono corrisposti, in rapporto all’importo garantito, 50 punti base durante il primo anno, 100 punti base durante il secondo e terzo anno, 200 punti base durante il quarto, quinto e sesto anno;</w:t>
      </w:r>
    </w:p>
    <w:p w:rsidR="005A44F6" w:rsidRPr="00757BA7" w:rsidRDefault="005A44F6" w:rsidP="001A0DCE">
      <w:pPr>
        <w:spacing w:after="120"/>
        <w:ind w:left="704" w:hanging="420"/>
        <w:rPr>
          <w:rFonts w:cs="Times New Roman"/>
          <w:szCs w:val="24"/>
        </w:rPr>
      </w:pPr>
      <w:r w:rsidRPr="00757BA7">
        <w:rPr>
          <w:rFonts w:eastAsia="Times New Roman" w:cs="Times New Roman"/>
          <w:szCs w:val="24"/>
        </w:rPr>
        <w:t>f)</w:t>
      </w:r>
      <w:r w:rsidR="001A0DCE">
        <w:rPr>
          <w:rFonts w:eastAsia="Times New Roman" w:cs="Times New Roman"/>
          <w:szCs w:val="24"/>
        </w:rPr>
        <w:tab/>
      </w:r>
      <w:r w:rsidRPr="00757BA7">
        <w:rPr>
          <w:rFonts w:eastAsia="Times New Roman" w:cs="Times New Roman"/>
          <w:szCs w:val="24"/>
        </w:rPr>
        <w:t xml:space="preserve">la garanzia è a prima richiesta, esplicita, irrevocabile, </w:t>
      </w:r>
      <w:r w:rsidRPr="00757BA7">
        <w:rPr>
          <w:rFonts w:cs="Times New Roman"/>
          <w:szCs w:val="24"/>
        </w:rPr>
        <w:t>e conforme ai requisiti previsti dalla normativa di vigilanza prudenziale ai fini della migliore mitigazione del rischio</w:t>
      </w:r>
      <w:r w:rsidRPr="00757BA7">
        <w:rPr>
          <w:rFonts w:eastAsia="Times New Roman" w:cs="Times New Roman"/>
          <w:szCs w:val="24"/>
        </w:rPr>
        <w:t>;</w:t>
      </w:r>
    </w:p>
    <w:p w:rsidR="005A44F6" w:rsidRPr="00757BA7" w:rsidRDefault="001A0DCE" w:rsidP="001A0DCE">
      <w:pPr>
        <w:spacing w:after="120"/>
        <w:ind w:left="704" w:hanging="420"/>
        <w:rPr>
          <w:rFonts w:eastAsia="Times New Roman" w:cs="Times New Roman"/>
          <w:szCs w:val="24"/>
        </w:rPr>
      </w:pPr>
      <w:r>
        <w:rPr>
          <w:rFonts w:eastAsia="Times New Roman" w:cs="Times New Roman"/>
          <w:szCs w:val="24"/>
        </w:rPr>
        <w:t>g)</w:t>
      </w:r>
      <w:r>
        <w:rPr>
          <w:rFonts w:eastAsia="Times New Roman" w:cs="Times New Roman"/>
          <w:szCs w:val="24"/>
        </w:rPr>
        <w:tab/>
      </w:r>
      <w:r w:rsidR="005A44F6" w:rsidRPr="00757BA7">
        <w:rPr>
          <w:rFonts w:eastAsia="Times New Roman" w:cs="Times New Roman"/>
          <w:szCs w:val="24"/>
        </w:rPr>
        <w:t>la garanzia copre</w:t>
      </w:r>
      <w:r w:rsidR="005A44F6" w:rsidRPr="00757BA7">
        <w:rPr>
          <w:rFonts w:cs="Times New Roman"/>
          <w:szCs w:val="24"/>
        </w:rPr>
        <w:t xml:space="preserve"> nuovi finanziamenti </w:t>
      </w:r>
      <w:r w:rsidR="005A44F6">
        <w:rPr>
          <w:rFonts w:cs="Times New Roman"/>
          <w:szCs w:val="24"/>
        </w:rPr>
        <w:t xml:space="preserve">o rifinanziamenti </w:t>
      </w:r>
      <w:r w:rsidR="005A44F6" w:rsidRPr="00757BA7">
        <w:rPr>
          <w:rFonts w:cs="Times New Roman"/>
          <w:szCs w:val="24"/>
        </w:rPr>
        <w:t>concessi all’impresa</w:t>
      </w:r>
      <w:r w:rsidR="005A44F6" w:rsidRPr="00757BA7">
        <w:rPr>
          <w:rFonts w:eastAsia="Times New Roman" w:cs="Times New Roman"/>
          <w:szCs w:val="24"/>
        </w:rPr>
        <w:t xml:space="preserve"> successivamente all’entrata in vigore del presente </w:t>
      </w:r>
      <w:r w:rsidR="005A44F6">
        <w:rPr>
          <w:rFonts w:eastAsia="Times New Roman" w:cs="Times New Roman"/>
          <w:szCs w:val="24"/>
        </w:rPr>
        <w:t>decreto</w:t>
      </w:r>
      <w:r w:rsidR="005A44F6" w:rsidRPr="00757BA7">
        <w:rPr>
          <w:rFonts w:eastAsia="Times New Roman" w:cs="Times New Roman"/>
          <w:szCs w:val="24"/>
        </w:rPr>
        <w:t>, per capitale, interessi ed oneri accessori fino all’importo massimo garantito;</w:t>
      </w:r>
    </w:p>
    <w:p w:rsidR="005A44F6" w:rsidRPr="00634EB0" w:rsidRDefault="001A0DCE" w:rsidP="001A0DCE">
      <w:pPr>
        <w:spacing w:after="120"/>
        <w:ind w:left="709" w:hanging="425"/>
        <w:rPr>
          <w:rFonts w:cs="Times New Roman"/>
          <w:szCs w:val="24"/>
        </w:rPr>
      </w:pPr>
      <w:r>
        <w:rPr>
          <w:rFonts w:cs="Times New Roman"/>
          <w:szCs w:val="24"/>
        </w:rPr>
        <w:t>h)</w:t>
      </w:r>
      <w:r>
        <w:rPr>
          <w:rFonts w:cs="Times New Roman"/>
          <w:szCs w:val="24"/>
        </w:rPr>
        <w:tab/>
      </w:r>
      <w:r w:rsidR="005A44F6" w:rsidRPr="00634EB0">
        <w:rPr>
          <w:rFonts w:cs="Times New Roman"/>
          <w:szCs w:val="24"/>
        </w:rPr>
        <w:t xml:space="preserve">le commissioni devono essere limitate al recupero dei costi e il costo dei finanziamenti coperti dalla garanzia deve essere inferiore al costo che sarebbe stato richiesto dal soggetto o dai soggetti eroganti per operazioni con le medesime caratteristiche ma prive della garanzia, come documentato e attestato dal rappresentante legale dei suddetti soggetti eroganti. </w:t>
      </w:r>
      <w:r w:rsidR="005A44F6" w:rsidRPr="00634EB0">
        <w:rPr>
          <w:iCs/>
        </w:rPr>
        <w:t xml:space="preserve">Il minor costo dei rifinanziamenti coperti dalla garanzia deve essere almeno uguale alla differenza tra il costo che sarebbe stato richiesto dal soggetto o dai </w:t>
      </w:r>
      <w:r w:rsidR="005A44F6" w:rsidRPr="00634EB0">
        <w:rPr>
          <w:iCs/>
        </w:rPr>
        <w:lastRenderedPageBreak/>
        <w:t>soggetti eroganti per operazioni con le medesime caratteristiche ma prive della garanzia, come documentato e attestato dal rappresentante legale dei suddetti soggetti eroganti, ed il costo effettivamente applicato al l'impresa</w:t>
      </w:r>
      <w:r w:rsidR="005A44F6" w:rsidRPr="00634EB0">
        <w:rPr>
          <w:rFonts w:cs="Times New Roman"/>
          <w:szCs w:val="24"/>
        </w:rPr>
        <w:t>;</w:t>
      </w:r>
    </w:p>
    <w:p w:rsidR="005A44F6" w:rsidRDefault="001A0DCE" w:rsidP="001A0DCE">
      <w:pPr>
        <w:spacing w:after="120"/>
        <w:ind w:left="704" w:hanging="420"/>
        <w:rPr>
          <w:rFonts w:cs="Times New Roman"/>
          <w:szCs w:val="24"/>
        </w:rPr>
      </w:pPr>
      <w:r>
        <w:rPr>
          <w:rFonts w:cs="Times New Roman"/>
          <w:szCs w:val="24"/>
        </w:rPr>
        <w:t>i)</w:t>
      </w:r>
      <w:r>
        <w:rPr>
          <w:rFonts w:cs="Times New Roman"/>
          <w:szCs w:val="24"/>
        </w:rPr>
        <w:tab/>
      </w:r>
      <w:r w:rsidR="005A44F6" w:rsidRPr="00757BA7">
        <w:rPr>
          <w:rFonts w:cs="Times New Roman"/>
          <w:szCs w:val="24"/>
        </w:rPr>
        <w:t>l’impresa che beneficia della garanzia assume</w:t>
      </w:r>
      <w:r w:rsidR="00E93105">
        <w:rPr>
          <w:rFonts w:cs="Times New Roman"/>
          <w:szCs w:val="24"/>
        </w:rPr>
        <w:t xml:space="preserve"> </w:t>
      </w:r>
      <w:r w:rsidR="005A44F6" w:rsidRPr="00757BA7">
        <w:rPr>
          <w:rFonts w:cs="Times New Roman"/>
          <w:szCs w:val="24"/>
        </w:rPr>
        <w:t xml:space="preserve">l’impegno che essa, nonché ogni altra impresa che faccia parte del medesimo gruppo cui la prima appartiene, non approvi la distribuzione di dividendi nei </w:t>
      </w:r>
      <w:r w:rsidR="005A44F6">
        <w:rPr>
          <w:rFonts w:cs="Times New Roman"/>
          <w:szCs w:val="24"/>
        </w:rPr>
        <w:t>dodici</w:t>
      </w:r>
      <w:r w:rsidR="005A44F6" w:rsidRPr="00757BA7">
        <w:rPr>
          <w:rFonts w:cs="Times New Roman"/>
          <w:szCs w:val="24"/>
        </w:rPr>
        <w:t xml:space="preserve"> mesi successivi all’erogazione del finanziamento;</w:t>
      </w:r>
    </w:p>
    <w:p w:rsidR="00B00248" w:rsidRPr="00757BA7" w:rsidRDefault="00B00248" w:rsidP="001A0DCE">
      <w:pPr>
        <w:spacing w:after="120"/>
        <w:ind w:left="704" w:hanging="420"/>
        <w:rPr>
          <w:rFonts w:cs="Times New Roman"/>
          <w:szCs w:val="24"/>
        </w:rPr>
      </w:pPr>
      <w:r>
        <w:rPr>
          <w:rFonts w:cs="Times New Roman"/>
          <w:szCs w:val="24"/>
        </w:rPr>
        <w:t>l)</w:t>
      </w:r>
      <w:r>
        <w:rPr>
          <w:rFonts w:cs="Times New Roman"/>
          <w:szCs w:val="24"/>
        </w:rPr>
        <w:tab/>
      </w:r>
      <w:r w:rsidRPr="00B00248">
        <w:rPr>
          <w:rFonts w:cs="Times New Roman"/>
          <w:szCs w:val="24"/>
        </w:rPr>
        <w:t>l’impresa c</w:t>
      </w:r>
      <w:r>
        <w:rPr>
          <w:rFonts w:cs="Times New Roman"/>
          <w:szCs w:val="24"/>
        </w:rPr>
        <w:t>he beneficia della garanzia assume</w:t>
      </w:r>
      <w:r w:rsidRPr="00B00248">
        <w:rPr>
          <w:rFonts w:cs="Times New Roman"/>
          <w:szCs w:val="24"/>
        </w:rPr>
        <w:t xml:space="preserve"> l’impegno </w:t>
      </w:r>
      <w:r>
        <w:rPr>
          <w:rFonts w:cs="Times New Roman"/>
          <w:szCs w:val="24"/>
        </w:rPr>
        <w:t>a gestire i livelli occupazionali attraverso accordi sindacali;</w:t>
      </w:r>
    </w:p>
    <w:p w:rsidR="001E2AB1" w:rsidRDefault="00B00248" w:rsidP="001A0DCE">
      <w:pPr>
        <w:spacing w:after="120"/>
        <w:ind w:left="709" w:hanging="425"/>
        <w:rPr>
          <w:rFonts w:cs="Times New Roman"/>
          <w:szCs w:val="24"/>
        </w:rPr>
      </w:pPr>
      <w:r>
        <w:rPr>
          <w:rFonts w:cs="Times New Roman"/>
          <w:szCs w:val="24"/>
        </w:rPr>
        <w:t>m</w:t>
      </w:r>
      <w:r w:rsidR="00E93105">
        <w:rPr>
          <w:rFonts w:cs="Times New Roman"/>
          <w:szCs w:val="24"/>
        </w:rPr>
        <w:t>)</w:t>
      </w:r>
      <w:r w:rsidR="001A0DCE">
        <w:rPr>
          <w:rFonts w:cs="Times New Roman"/>
          <w:szCs w:val="24"/>
        </w:rPr>
        <w:tab/>
      </w:r>
      <w:r w:rsidR="006118C1" w:rsidRPr="001E2AB1">
        <w:rPr>
          <w:rFonts w:cs="Times New Roman"/>
          <w:szCs w:val="24"/>
        </w:rPr>
        <w:t xml:space="preserve">il soggetto finanziatore deve dimostrare che ad esito del rilascio del finanziamento coperto da garanzia l’ammontare complessivo delle esposizioni nei confronti del soggetto finanziato risulta </w:t>
      </w:r>
      <w:r w:rsidR="006118C1">
        <w:rPr>
          <w:rFonts w:cs="Times New Roman"/>
          <w:szCs w:val="24"/>
        </w:rPr>
        <w:t>superiore</w:t>
      </w:r>
      <w:r w:rsidR="006118C1" w:rsidRPr="001E2AB1">
        <w:rPr>
          <w:rFonts w:cs="Times New Roman"/>
          <w:szCs w:val="24"/>
        </w:rPr>
        <w:t xml:space="preserve"> all’ammontare di esposizioni detenute alla data di entrata in vigore del decreto, corretto per le riduzioni delle esposizioni intervenute tra le due date in conseguenza del regolamento contrattuale stabilito tra le parti prima dell’entrata in vigore del presente decreto ovvero per decisione autonoma del finanziato;</w:t>
      </w:r>
    </w:p>
    <w:p w:rsidR="005A44F6" w:rsidRPr="00757BA7" w:rsidRDefault="00B00248" w:rsidP="00957437">
      <w:pPr>
        <w:spacing w:after="120"/>
        <w:ind w:left="704" w:hanging="420"/>
        <w:rPr>
          <w:rFonts w:cs="Times New Roman"/>
          <w:szCs w:val="24"/>
        </w:rPr>
      </w:pPr>
      <w:r>
        <w:rPr>
          <w:rFonts w:cs="Times New Roman"/>
          <w:szCs w:val="24"/>
        </w:rPr>
        <w:t>n</w:t>
      </w:r>
      <w:r w:rsidR="001A0DCE">
        <w:rPr>
          <w:rFonts w:cs="Times New Roman"/>
          <w:szCs w:val="24"/>
        </w:rPr>
        <w:t>)</w:t>
      </w:r>
      <w:r w:rsidR="00957437">
        <w:rPr>
          <w:rFonts w:cs="Times New Roman"/>
          <w:szCs w:val="24"/>
        </w:rPr>
        <w:tab/>
      </w:r>
      <w:r w:rsidR="005A44F6" w:rsidRPr="00757BA7">
        <w:rPr>
          <w:rFonts w:cs="Times New Roman"/>
          <w:szCs w:val="24"/>
        </w:rPr>
        <w:t xml:space="preserve">il finanziamento coperto dalla garanzia deve essere destinato a sostenere costi del personale, investimenti o capitale circolante impiegati in stabilimenti produttivi e </w:t>
      </w:r>
      <w:r w:rsidR="005A44F6" w:rsidRPr="00757BA7">
        <w:rPr>
          <w:rFonts w:eastAsia="Times New Roman" w:cs="Times New Roman"/>
          <w:szCs w:val="24"/>
        </w:rPr>
        <w:t>attività</w:t>
      </w:r>
      <w:r w:rsidR="005A44F6" w:rsidRPr="00757BA7">
        <w:rPr>
          <w:rFonts w:cs="Times New Roman"/>
          <w:szCs w:val="24"/>
        </w:rPr>
        <w:t xml:space="preserve"> imprenditoriali che siano localizzati in Italia, come documentato </w:t>
      </w:r>
      <w:r w:rsidR="005A44F6" w:rsidRPr="00757BA7">
        <w:rPr>
          <w:rFonts w:eastAsia="Times New Roman" w:cs="Times New Roman"/>
          <w:szCs w:val="24"/>
        </w:rPr>
        <w:t>e attestato dal rappresentante legale dell’impresa beneficiaria.</w:t>
      </w:r>
      <w:r w:rsidR="005A44F6" w:rsidRPr="00757BA7">
        <w:rPr>
          <w:rFonts w:cs="Times New Roman"/>
          <w:szCs w:val="24"/>
        </w:rPr>
        <w:t xml:space="preserve">   </w:t>
      </w:r>
    </w:p>
    <w:p w:rsidR="005A44F6" w:rsidRPr="00757BA7" w:rsidRDefault="005A44F6" w:rsidP="005A44F6">
      <w:pPr>
        <w:spacing w:after="120"/>
        <w:rPr>
          <w:rFonts w:cs="Times New Roman"/>
          <w:szCs w:val="24"/>
        </w:rPr>
      </w:pPr>
      <w:r w:rsidRPr="00757BA7">
        <w:rPr>
          <w:rFonts w:cs="Times New Roman"/>
          <w:szCs w:val="24"/>
        </w:rPr>
        <w:t xml:space="preserve">3. Ai fini dell’individuazione del limite di importo garantito indicato dal comma 2, lettera c), si fa riferimento al valore del fatturato in Italia e dei costi del personale sostenuti in Italia da parte dell’impresa ovvero su base consolidata qualora l’impresa appartenga ad un gruppo. L’impresa richiedente è tenuta a comunicare alla banca finanziatrice tale valore. </w:t>
      </w:r>
    </w:p>
    <w:p w:rsidR="005A44F6" w:rsidRPr="00757BA7" w:rsidRDefault="005A44F6" w:rsidP="005A44F6">
      <w:pPr>
        <w:spacing w:after="120"/>
        <w:rPr>
          <w:rFonts w:cs="Times New Roman"/>
          <w:szCs w:val="24"/>
        </w:rPr>
      </w:pPr>
      <w:r w:rsidRPr="00757BA7">
        <w:rPr>
          <w:rFonts w:cs="Times New Roman"/>
          <w:szCs w:val="24"/>
        </w:rPr>
        <w:t>4. Ai fini dell’individuazione della percentuale di garanzia indicata dal comma 2, lettera d), si fa riferimento al valore su base consolidata del fatturato e dei costi del personale del gruppo, qualora l’impresa beneficiaria sia parte di un gruppo. L’impresa richiedente è tenuta a comunicare alla banca finanziatrice tale valore.</w:t>
      </w:r>
    </w:p>
    <w:p w:rsidR="005A44F6" w:rsidRPr="00757BA7" w:rsidRDefault="005A44F6" w:rsidP="005A44F6">
      <w:pPr>
        <w:spacing w:after="120"/>
        <w:rPr>
          <w:rFonts w:cs="Times New Roman"/>
          <w:szCs w:val="24"/>
        </w:rPr>
      </w:pPr>
      <w:r w:rsidRPr="00757BA7">
        <w:rPr>
          <w:rFonts w:cs="Times New Roman"/>
          <w:szCs w:val="24"/>
        </w:rPr>
        <w:t xml:space="preserve">5.  Sulle obbligazioni di SACE S.p.A. derivanti dalle garanzie disciplinate dal comma 1, è accordata di diritto la garanzia dello Stato a prima richiesta e senza regresso, la cui operatività sarà registrata da SACE S.p.A. con gestione separata. La garanzia dello Stato è esplicita, incondizionata, irrevocabile e si estende al rimborso del capitale, al pagamento degli interessi e ad ogni altro onere accessorio, al netto delle commissioni ricevute per le medesime garanzie. </w:t>
      </w:r>
      <w:r w:rsidRPr="00757BA7">
        <w:rPr>
          <w:rFonts w:eastAsia="Times New Roman" w:cs="Times New Roman"/>
          <w:szCs w:val="24"/>
        </w:rPr>
        <w:t>SACE S.p.A. svolge anche per conto del Ministero dell’</w:t>
      </w:r>
      <w:r>
        <w:rPr>
          <w:rFonts w:eastAsia="Times New Roman" w:cs="Times New Roman"/>
          <w:szCs w:val="24"/>
        </w:rPr>
        <w:t>economia</w:t>
      </w:r>
      <w:r w:rsidRPr="00757BA7">
        <w:rPr>
          <w:rFonts w:eastAsia="Times New Roman" w:cs="Times New Roman"/>
          <w:szCs w:val="24"/>
        </w:rPr>
        <w:t xml:space="preserve"> e delle </w:t>
      </w:r>
      <w:r>
        <w:rPr>
          <w:rFonts w:eastAsia="Times New Roman" w:cs="Times New Roman"/>
          <w:szCs w:val="24"/>
        </w:rPr>
        <w:t>finanze</w:t>
      </w:r>
      <w:r w:rsidRPr="00757BA7">
        <w:rPr>
          <w:rFonts w:eastAsia="Times New Roman" w:cs="Times New Roman"/>
          <w:szCs w:val="24"/>
        </w:rPr>
        <w:t xml:space="preserve"> le attività </w:t>
      </w:r>
      <w:r w:rsidRPr="00757BA7">
        <w:rPr>
          <w:rFonts w:eastAsia="Times New Roman" w:cs="Times New Roman"/>
          <w:szCs w:val="24"/>
        </w:rPr>
        <w:lastRenderedPageBreak/>
        <w:t>relative all’escussione della garanzia e al recupero dei crediti</w:t>
      </w:r>
      <w:r w:rsidR="001E2AB1">
        <w:rPr>
          <w:rFonts w:eastAsia="Times New Roman" w:cs="Times New Roman"/>
          <w:szCs w:val="24"/>
        </w:rPr>
        <w:t>, che può altresì delegare alle banche, alle istituzioni finanziarie nazionali e internazionali e agli altri soggetti abilitati all’esercizio del credito in Italia</w:t>
      </w:r>
      <w:r w:rsidRPr="00757BA7">
        <w:rPr>
          <w:rFonts w:eastAsia="Times New Roman" w:cs="Times New Roman"/>
          <w:szCs w:val="24"/>
        </w:rPr>
        <w:t xml:space="preserve">. </w:t>
      </w:r>
      <w:r>
        <w:rPr>
          <w:rFonts w:eastAsia="Times New Roman" w:cs="Times New Roman"/>
          <w:szCs w:val="24"/>
        </w:rPr>
        <w:t xml:space="preserve">SACE S.p.A. opera con la dovuta diligenza professionale. Con decreto del Ministro dell’economia e delle finanze possono essere impartiti a SACE S.p.A. indirizzi sulla gestione dell’attività di rilascio delle garanzie e sulla verifica, al fine dell’escussione della garanzia dello Stato, del rispetto dei suddetti indirizzi e dei criteri e condizioni previsti dal presente articolo. </w:t>
      </w:r>
    </w:p>
    <w:p w:rsidR="005A44F6" w:rsidRPr="00757BA7" w:rsidRDefault="005A44F6" w:rsidP="005A44F6">
      <w:pPr>
        <w:spacing w:after="120"/>
        <w:rPr>
          <w:rFonts w:cs="Times New Roman"/>
          <w:szCs w:val="24"/>
        </w:rPr>
      </w:pPr>
      <w:r w:rsidRPr="00757BA7">
        <w:rPr>
          <w:rFonts w:cs="Times New Roman"/>
          <w:szCs w:val="24"/>
        </w:rPr>
        <w:t xml:space="preserve">6. Per il rilascio delle garanzie che coprono finanziamenti in favore di imprese con meno di 5000 dipendenti in Italia e con valore del fatturato inferiore a 1,5 miliardi di </w:t>
      </w:r>
      <w:r>
        <w:rPr>
          <w:rFonts w:cs="Times New Roman"/>
          <w:szCs w:val="24"/>
        </w:rPr>
        <w:t>euro</w:t>
      </w:r>
      <w:r w:rsidRPr="00757BA7">
        <w:rPr>
          <w:rFonts w:cs="Times New Roman"/>
          <w:szCs w:val="24"/>
        </w:rPr>
        <w:t xml:space="preserve">, sulla base dei dati risultanti dall’ultimo bilancio approvato ovvero dei dati certificati con riferimento alla data di entrata in vigore del presente </w:t>
      </w:r>
      <w:r>
        <w:rPr>
          <w:rFonts w:cs="Times New Roman"/>
          <w:szCs w:val="24"/>
        </w:rPr>
        <w:t>decreto</w:t>
      </w:r>
      <w:r w:rsidRPr="00757BA7">
        <w:rPr>
          <w:rFonts w:cs="Times New Roman"/>
          <w:szCs w:val="24"/>
        </w:rPr>
        <w:t xml:space="preserve"> se l’impresa non ha ancora approvato il primo bilancio, si applica la seguente procedura semplificata, come ulteriormente specificata sul piano procedurale e documentale da SACE S.p.A., fermo quanto previsto dal comma 9:</w:t>
      </w:r>
    </w:p>
    <w:p w:rsidR="005A44F6" w:rsidRPr="00757BA7" w:rsidRDefault="002E0967" w:rsidP="002E0967">
      <w:pPr>
        <w:spacing w:after="120"/>
        <w:ind w:left="705" w:hanging="705"/>
        <w:rPr>
          <w:rFonts w:eastAsia="Times New Roman" w:cs="Times New Roman"/>
          <w:szCs w:val="24"/>
        </w:rPr>
      </w:pPr>
      <w:r>
        <w:rPr>
          <w:rFonts w:eastAsia="Times New Roman" w:cs="Times New Roman"/>
          <w:szCs w:val="24"/>
        </w:rPr>
        <w:t>a)</w:t>
      </w:r>
      <w:r>
        <w:rPr>
          <w:rFonts w:eastAsia="Times New Roman" w:cs="Times New Roman"/>
          <w:szCs w:val="24"/>
        </w:rPr>
        <w:tab/>
      </w:r>
      <w:r w:rsidR="005A44F6" w:rsidRPr="00757BA7">
        <w:rPr>
          <w:rFonts w:eastAsia="Times New Roman" w:cs="Times New Roman"/>
          <w:szCs w:val="24"/>
        </w:rPr>
        <w:t>l’impresa interessata all’erogazione di un finanziamento garantito da SACE S.p.A. presenta a un soggetto finanziatore, che può operare ed eventualmente erogare anche in modo coordinato con altri finanziatori, la domanda di finanziamento garantito dallo Stato;</w:t>
      </w:r>
    </w:p>
    <w:p w:rsidR="005A44F6" w:rsidRPr="00757BA7" w:rsidRDefault="002E0967" w:rsidP="002E0967">
      <w:pPr>
        <w:spacing w:after="120"/>
        <w:ind w:left="705" w:hanging="705"/>
        <w:rPr>
          <w:rFonts w:eastAsia="Times New Roman" w:cs="Times New Roman"/>
          <w:szCs w:val="24"/>
        </w:rPr>
      </w:pPr>
      <w:r>
        <w:rPr>
          <w:rFonts w:eastAsia="Times New Roman" w:cs="Times New Roman"/>
          <w:szCs w:val="24"/>
        </w:rPr>
        <w:t>b)</w:t>
      </w:r>
      <w:r>
        <w:rPr>
          <w:rFonts w:eastAsia="Times New Roman" w:cs="Times New Roman"/>
          <w:szCs w:val="24"/>
        </w:rPr>
        <w:tab/>
      </w:r>
      <w:r w:rsidR="005A44F6" w:rsidRPr="00757BA7">
        <w:rPr>
          <w:rFonts w:eastAsia="Times New Roman" w:cs="Times New Roman"/>
          <w:szCs w:val="24"/>
        </w:rPr>
        <w:t xml:space="preserve">in caso di </w:t>
      </w:r>
      <w:r w:rsidR="006118C1">
        <w:rPr>
          <w:rFonts w:eastAsia="Times New Roman" w:cs="Times New Roman"/>
          <w:szCs w:val="24"/>
        </w:rPr>
        <w:t>esito positivo della delibera di</w:t>
      </w:r>
      <w:r w:rsidR="006118C1" w:rsidRPr="00757BA7" w:rsidDel="006118C1">
        <w:rPr>
          <w:rFonts w:eastAsia="Times New Roman" w:cs="Times New Roman"/>
          <w:szCs w:val="24"/>
        </w:rPr>
        <w:t xml:space="preserve"> </w:t>
      </w:r>
      <w:r w:rsidR="005A44F6" w:rsidRPr="00757BA7">
        <w:rPr>
          <w:rFonts w:eastAsia="Times New Roman" w:cs="Times New Roman"/>
          <w:szCs w:val="24"/>
        </w:rPr>
        <w:t>erogazione del finanziamento da parte dei suddetti soggetti,</w:t>
      </w:r>
      <w:r w:rsidR="005A44F6" w:rsidRPr="00757BA7">
        <w:rPr>
          <w:rFonts w:cs="Times New Roman"/>
          <w:szCs w:val="24"/>
        </w:rPr>
        <w:t xml:space="preserve"> questi ultimi </w:t>
      </w:r>
      <w:r w:rsidR="005A44F6" w:rsidRPr="00757BA7">
        <w:rPr>
          <w:rFonts w:eastAsia="Times New Roman" w:cs="Times New Roman"/>
          <w:szCs w:val="24"/>
        </w:rPr>
        <w:t xml:space="preserve">trasmettono </w:t>
      </w:r>
      <w:r>
        <w:rPr>
          <w:rFonts w:eastAsia="Times New Roman" w:cs="Times New Roman"/>
          <w:szCs w:val="24"/>
        </w:rPr>
        <w:t xml:space="preserve">la richiesta di emissione della </w:t>
      </w:r>
      <w:r w:rsidR="005A44F6" w:rsidRPr="00757BA7">
        <w:rPr>
          <w:rFonts w:eastAsia="Times New Roman" w:cs="Times New Roman"/>
          <w:szCs w:val="24"/>
        </w:rPr>
        <w:t xml:space="preserve">garanzia a SACE S.p.A. e quest’ultima processa la richiesta, verificando l’esito positivo del processo deliberativo del soggetto finanziatore ed emettendo un codice unico identificativo del finanziamento e della garanzia; </w:t>
      </w:r>
    </w:p>
    <w:p w:rsidR="005A44F6" w:rsidRPr="00757BA7" w:rsidRDefault="002E0967" w:rsidP="00B00248">
      <w:pPr>
        <w:spacing w:after="120"/>
        <w:ind w:left="705" w:hanging="705"/>
        <w:rPr>
          <w:rFonts w:eastAsia="Times New Roman" w:cs="Times New Roman"/>
          <w:szCs w:val="24"/>
        </w:rPr>
      </w:pPr>
      <w:r>
        <w:rPr>
          <w:rFonts w:eastAsia="Times New Roman" w:cs="Times New Roman"/>
          <w:szCs w:val="24"/>
        </w:rPr>
        <w:t>c)</w:t>
      </w:r>
      <w:r>
        <w:rPr>
          <w:rFonts w:eastAsia="Times New Roman" w:cs="Times New Roman"/>
          <w:szCs w:val="24"/>
        </w:rPr>
        <w:tab/>
      </w:r>
      <w:r w:rsidR="005A44F6" w:rsidRPr="00757BA7">
        <w:rPr>
          <w:rFonts w:eastAsia="Times New Roman" w:cs="Times New Roman"/>
          <w:szCs w:val="24"/>
        </w:rPr>
        <w:t>il soggetto finanziatore procede al rilascio del finanziamento assistito dalla garanzia concessa dalla SACE S.p.A.</w:t>
      </w:r>
    </w:p>
    <w:p w:rsidR="005A44F6" w:rsidRPr="00757BA7" w:rsidRDefault="005A44F6" w:rsidP="005A44F6">
      <w:pPr>
        <w:spacing w:after="120"/>
        <w:rPr>
          <w:rFonts w:cs="Times New Roman"/>
          <w:szCs w:val="24"/>
        </w:rPr>
      </w:pPr>
      <w:r w:rsidRPr="00757BA7">
        <w:rPr>
          <w:rFonts w:cs="Times New Roman"/>
          <w:szCs w:val="24"/>
        </w:rPr>
        <w:t xml:space="preserve">7. Qualora l’impresa beneficiaria abbia dipendenti o fatturato superiori alle soglie indicate dal comma 6, il rilascio della garanzia e del corrispondente codice unico è subordinato altresì alla decisione </w:t>
      </w:r>
      <w:r>
        <w:rPr>
          <w:rFonts w:cs="Times New Roman"/>
          <w:szCs w:val="24"/>
        </w:rPr>
        <w:t xml:space="preserve">assunta con decreto del </w:t>
      </w:r>
      <w:r w:rsidRPr="00757BA7">
        <w:rPr>
          <w:rFonts w:cs="Times New Roman"/>
          <w:szCs w:val="24"/>
        </w:rPr>
        <w:t>Ministro dell’</w:t>
      </w:r>
      <w:r>
        <w:rPr>
          <w:rFonts w:cs="Times New Roman"/>
          <w:szCs w:val="24"/>
        </w:rPr>
        <w:t>economia e delle finanze,</w:t>
      </w:r>
      <w:r w:rsidR="00B00248">
        <w:rPr>
          <w:rFonts w:cs="Times New Roman"/>
          <w:szCs w:val="24"/>
        </w:rPr>
        <w:t xml:space="preserve"> sentito il Ministro dello sviluppo economico,</w:t>
      </w:r>
      <w:r>
        <w:rPr>
          <w:rFonts w:cs="Times New Roman"/>
          <w:szCs w:val="24"/>
        </w:rPr>
        <w:t xml:space="preserve"> adottato</w:t>
      </w:r>
      <w:r w:rsidRPr="00757BA7">
        <w:rPr>
          <w:rFonts w:cs="Times New Roman"/>
          <w:szCs w:val="24"/>
        </w:rPr>
        <w:t xml:space="preserve"> sulla base d</w:t>
      </w:r>
      <w:r>
        <w:rPr>
          <w:rFonts w:cs="Times New Roman"/>
          <w:szCs w:val="24"/>
        </w:rPr>
        <w:t>ell</w:t>
      </w:r>
      <w:r w:rsidRPr="00757BA7">
        <w:rPr>
          <w:rFonts w:cs="Times New Roman"/>
          <w:szCs w:val="24"/>
        </w:rPr>
        <w:t>’istruttoria trasmessa da SACE S.p.A.</w:t>
      </w:r>
      <w:r>
        <w:rPr>
          <w:rFonts w:cs="Times New Roman"/>
          <w:szCs w:val="24"/>
        </w:rPr>
        <w:t>,</w:t>
      </w:r>
      <w:r w:rsidRPr="00757BA7">
        <w:rPr>
          <w:rFonts w:cs="Times New Roman"/>
          <w:szCs w:val="24"/>
        </w:rPr>
        <w:t xml:space="preserve"> tenendo in considerazione il ruolo che l’impresa che beneficia della garanzia svolge rispetto alle seguenti aree e profili in Italia:</w:t>
      </w:r>
    </w:p>
    <w:p w:rsidR="005A44F6" w:rsidRPr="00757BA7" w:rsidRDefault="002E0967" w:rsidP="002E0967">
      <w:pPr>
        <w:spacing w:after="120"/>
        <w:rPr>
          <w:rFonts w:eastAsia="Times New Roman" w:cs="Times New Roman"/>
          <w:szCs w:val="24"/>
        </w:rPr>
      </w:pPr>
      <w:r>
        <w:rPr>
          <w:rFonts w:eastAsia="Times New Roman" w:cs="Times New Roman"/>
          <w:szCs w:val="24"/>
        </w:rPr>
        <w:t>a)</w:t>
      </w:r>
      <w:r>
        <w:rPr>
          <w:rFonts w:eastAsia="Times New Roman" w:cs="Times New Roman"/>
          <w:szCs w:val="24"/>
        </w:rPr>
        <w:tab/>
      </w:r>
      <w:r w:rsidR="005A44F6" w:rsidRPr="00757BA7">
        <w:rPr>
          <w:rFonts w:eastAsia="Times New Roman" w:cs="Times New Roman"/>
          <w:szCs w:val="24"/>
        </w:rPr>
        <w:t xml:space="preserve"> contributo allo </w:t>
      </w:r>
      <w:r w:rsidR="005A44F6">
        <w:rPr>
          <w:rFonts w:eastAsia="Times New Roman" w:cs="Times New Roman"/>
          <w:szCs w:val="24"/>
        </w:rPr>
        <w:t>sviluppo</w:t>
      </w:r>
      <w:r w:rsidR="005A44F6" w:rsidRPr="00757BA7">
        <w:rPr>
          <w:rFonts w:eastAsia="Times New Roman" w:cs="Times New Roman"/>
          <w:szCs w:val="24"/>
        </w:rPr>
        <w:t xml:space="preserve"> tecnologico; </w:t>
      </w:r>
    </w:p>
    <w:p w:rsidR="005A44F6" w:rsidRPr="00757BA7" w:rsidRDefault="002E0967" w:rsidP="002E0967">
      <w:pPr>
        <w:spacing w:after="120"/>
        <w:rPr>
          <w:rFonts w:eastAsia="Times New Roman" w:cs="Times New Roman"/>
          <w:szCs w:val="24"/>
        </w:rPr>
      </w:pPr>
      <w:r>
        <w:rPr>
          <w:rFonts w:eastAsia="Times New Roman" w:cs="Times New Roman"/>
          <w:szCs w:val="24"/>
        </w:rPr>
        <w:t>b)</w:t>
      </w:r>
      <w:r>
        <w:rPr>
          <w:rFonts w:eastAsia="Times New Roman" w:cs="Times New Roman"/>
          <w:szCs w:val="24"/>
        </w:rPr>
        <w:tab/>
      </w:r>
      <w:r w:rsidR="005A44F6" w:rsidRPr="00757BA7">
        <w:rPr>
          <w:rFonts w:eastAsia="Times New Roman" w:cs="Times New Roman"/>
          <w:szCs w:val="24"/>
        </w:rPr>
        <w:t>appartenenza alla rete logistica e dei rifornimenti;</w:t>
      </w:r>
    </w:p>
    <w:p w:rsidR="005A44F6" w:rsidRPr="00757BA7" w:rsidRDefault="002E0967" w:rsidP="002E0967">
      <w:pPr>
        <w:spacing w:after="120"/>
        <w:rPr>
          <w:rFonts w:eastAsia="Times New Roman" w:cs="Times New Roman"/>
          <w:szCs w:val="24"/>
        </w:rPr>
      </w:pPr>
      <w:r>
        <w:rPr>
          <w:rFonts w:eastAsia="Times New Roman" w:cs="Times New Roman"/>
          <w:szCs w:val="24"/>
        </w:rPr>
        <w:lastRenderedPageBreak/>
        <w:t>c)</w:t>
      </w:r>
      <w:r>
        <w:rPr>
          <w:rFonts w:eastAsia="Times New Roman" w:cs="Times New Roman"/>
          <w:szCs w:val="24"/>
        </w:rPr>
        <w:tab/>
      </w:r>
      <w:r w:rsidR="005A44F6" w:rsidRPr="00757BA7">
        <w:rPr>
          <w:rFonts w:eastAsia="Times New Roman" w:cs="Times New Roman"/>
          <w:szCs w:val="24"/>
        </w:rPr>
        <w:t>incidenza su infrastrutture critiche e strategiche;</w:t>
      </w:r>
    </w:p>
    <w:p w:rsidR="005A44F6" w:rsidRPr="00757BA7" w:rsidRDefault="002E0967" w:rsidP="002E0967">
      <w:pPr>
        <w:spacing w:after="120"/>
        <w:rPr>
          <w:rFonts w:eastAsia="Times New Roman" w:cs="Times New Roman"/>
          <w:szCs w:val="24"/>
        </w:rPr>
      </w:pPr>
      <w:r>
        <w:rPr>
          <w:rFonts w:eastAsia="Times New Roman" w:cs="Times New Roman"/>
          <w:szCs w:val="24"/>
        </w:rPr>
        <w:t>d)</w:t>
      </w:r>
      <w:r>
        <w:rPr>
          <w:rFonts w:eastAsia="Times New Roman" w:cs="Times New Roman"/>
          <w:szCs w:val="24"/>
        </w:rPr>
        <w:tab/>
      </w:r>
      <w:r w:rsidR="005A44F6" w:rsidRPr="00757BA7">
        <w:rPr>
          <w:rFonts w:eastAsia="Times New Roman" w:cs="Times New Roman"/>
          <w:szCs w:val="24"/>
        </w:rPr>
        <w:t>impatto sui livelli occupazionali e mercato del lavoro;</w:t>
      </w:r>
    </w:p>
    <w:p w:rsidR="005A44F6" w:rsidRPr="00757BA7" w:rsidRDefault="002E0967" w:rsidP="002E0967">
      <w:pPr>
        <w:spacing w:after="120"/>
        <w:rPr>
          <w:rFonts w:eastAsia="Times New Roman" w:cs="Times New Roman"/>
          <w:szCs w:val="24"/>
        </w:rPr>
      </w:pPr>
      <w:r>
        <w:rPr>
          <w:rFonts w:eastAsia="Times New Roman" w:cs="Times New Roman"/>
          <w:szCs w:val="24"/>
        </w:rPr>
        <w:t>e)</w:t>
      </w:r>
      <w:r>
        <w:rPr>
          <w:rFonts w:eastAsia="Times New Roman" w:cs="Times New Roman"/>
          <w:szCs w:val="24"/>
        </w:rPr>
        <w:tab/>
      </w:r>
      <w:r w:rsidR="005A44F6" w:rsidRPr="00757BA7">
        <w:rPr>
          <w:rFonts w:eastAsia="Times New Roman" w:cs="Times New Roman"/>
          <w:szCs w:val="24"/>
        </w:rPr>
        <w:t>peso specifico nell’ambito di una filiera produttiva strategica.</w:t>
      </w:r>
    </w:p>
    <w:p w:rsidR="005A44F6" w:rsidRPr="00757BA7" w:rsidRDefault="005A44F6" w:rsidP="005A44F6">
      <w:pPr>
        <w:spacing w:after="120"/>
        <w:rPr>
          <w:rFonts w:cs="Times New Roman"/>
          <w:szCs w:val="24"/>
        </w:rPr>
      </w:pPr>
      <w:r w:rsidRPr="00757BA7">
        <w:rPr>
          <w:rFonts w:cs="Times New Roman"/>
          <w:szCs w:val="24"/>
        </w:rPr>
        <w:t xml:space="preserve">8. Con </w:t>
      </w:r>
      <w:r>
        <w:rPr>
          <w:rFonts w:cs="Times New Roman"/>
          <w:szCs w:val="24"/>
        </w:rPr>
        <w:t xml:space="preserve">il decreto </w:t>
      </w:r>
      <w:r w:rsidRPr="00757BA7">
        <w:rPr>
          <w:rFonts w:cs="Times New Roman"/>
          <w:szCs w:val="24"/>
        </w:rPr>
        <w:t>di cui al comma 7 possono essere elevate le percentuali di cui al comma 2, lettera d), fino al limite di percentuale immediatamente superiore a quello ivi previsto, subordinatamente al rispetto di specifici impegni e condizioni in capo all’impresa beneficiaria indicati nella decisione, in relazione alle aree e ai profili di cui al comma 7.</w:t>
      </w:r>
    </w:p>
    <w:p w:rsidR="005A44F6" w:rsidRPr="00757BA7" w:rsidRDefault="005A44F6" w:rsidP="005A44F6">
      <w:pPr>
        <w:spacing w:after="120"/>
        <w:rPr>
          <w:rFonts w:cs="Times New Roman"/>
          <w:szCs w:val="24"/>
        </w:rPr>
      </w:pPr>
      <w:r w:rsidRPr="00757BA7">
        <w:rPr>
          <w:rFonts w:cs="Times New Roman"/>
          <w:szCs w:val="24"/>
        </w:rPr>
        <w:t>9. I soggetti finanziatori forniscono un rendiconto periodico a SACE S.p.A., con i contenuti, la cadenza e le modalità da quest’ultima indicati, al fine di riscontrare il rispetto da parte dei soggetti finanziati e degli stessi soggetti finanziatori degli impegni e delle condizioni previsti ai sensi del presente articolo. SACE S.p.A. ne riferisce periodicamente al Ministero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xml:space="preserve">. </w:t>
      </w:r>
    </w:p>
    <w:p w:rsidR="005A44F6" w:rsidRPr="00757BA7" w:rsidRDefault="005A44F6" w:rsidP="005A44F6">
      <w:pPr>
        <w:spacing w:after="120"/>
        <w:rPr>
          <w:rFonts w:cs="Times New Roman"/>
          <w:szCs w:val="24"/>
        </w:rPr>
      </w:pPr>
      <w:r w:rsidRPr="00757BA7">
        <w:rPr>
          <w:rFonts w:cs="Times New Roman"/>
          <w:szCs w:val="24"/>
        </w:rPr>
        <w:t xml:space="preserve">10. Con </w:t>
      </w:r>
      <w:r>
        <w:rPr>
          <w:rFonts w:cs="Times New Roman"/>
          <w:szCs w:val="24"/>
        </w:rPr>
        <w:t>decreto</w:t>
      </w:r>
      <w:r w:rsidRPr="00757BA7">
        <w:rPr>
          <w:rFonts w:cs="Times New Roman"/>
          <w:szCs w:val="24"/>
        </w:rPr>
        <w:t xml:space="preserve"> di natura non r</w:t>
      </w:r>
      <w:r>
        <w:rPr>
          <w:rFonts w:cs="Times New Roman"/>
          <w:szCs w:val="24"/>
        </w:rPr>
        <w:t>egolamentare del Ministro dell’economia</w:t>
      </w:r>
      <w:r w:rsidRPr="00757BA7">
        <w:rPr>
          <w:rFonts w:cs="Times New Roman"/>
          <w:szCs w:val="24"/>
        </w:rPr>
        <w:t xml:space="preserve"> e delle </w:t>
      </w:r>
      <w:r>
        <w:rPr>
          <w:rFonts w:cs="Times New Roman"/>
          <w:szCs w:val="24"/>
        </w:rPr>
        <w:t>finanze</w:t>
      </w:r>
      <w:r w:rsidRPr="00757BA7">
        <w:rPr>
          <w:rFonts w:cs="Times New Roman"/>
          <w:szCs w:val="24"/>
        </w:rPr>
        <w:t xml:space="preserve"> possono essere disciplinate ulteriori modalità attuative e operative, ed eventuali elementi e requisiti integrativi, per l’esecuzione delle operazioni di cui ai commi da 1 a 9.</w:t>
      </w:r>
    </w:p>
    <w:p w:rsidR="005A44F6" w:rsidRPr="00757BA7" w:rsidRDefault="005A44F6" w:rsidP="005A44F6">
      <w:pPr>
        <w:spacing w:after="120"/>
        <w:rPr>
          <w:rFonts w:cs="Times New Roman"/>
          <w:szCs w:val="24"/>
        </w:rPr>
      </w:pPr>
      <w:r w:rsidRPr="00757BA7">
        <w:rPr>
          <w:rFonts w:cs="Times New Roman"/>
          <w:szCs w:val="24"/>
        </w:rPr>
        <w:t xml:space="preserve">11. In caso di modifiche della Comunicazione della Commissione </w:t>
      </w:r>
      <w:r>
        <w:rPr>
          <w:rFonts w:cs="Times New Roman"/>
          <w:szCs w:val="24"/>
        </w:rPr>
        <w:t>euro</w:t>
      </w:r>
      <w:r w:rsidRPr="00757BA7">
        <w:rPr>
          <w:rFonts w:cs="Times New Roman"/>
          <w:szCs w:val="24"/>
        </w:rPr>
        <w:t>pea del 19 marzo 2020 recante un “Quadro temporaneo per le misure di aiuto di Stato a sostegno dell’</w:t>
      </w:r>
      <w:r>
        <w:rPr>
          <w:rFonts w:cs="Times New Roman"/>
          <w:szCs w:val="24"/>
        </w:rPr>
        <w:t>economia</w:t>
      </w:r>
      <w:r w:rsidRPr="00757BA7">
        <w:rPr>
          <w:rFonts w:cs="Times New Roman"/>
          <w:szCs w:val="24"/>
        </w:rPr>
        <w:t xml:space="preserve"> nell’attuale emergenza del COVID-19”, condizioni e requisiti indicati ai commi da 2 a 8 possono essere conseguentemente adeguati con </w:t>
      </w:r>
      <w:r>
        <w:rPr>
          <w:rFonts w:cs="Times New Roman"/>
          <w:szCs w:val="24"/>
        </w:rPr>
        <w:t>decreto</w:t>
      </w:r>
      <w:r w:rsidRPr="00757BA7">
        <w:rPr>
          <w:rFonts w:cs="Times New Roman"/>
          <w:szCs w:val="24"/>
        </w:rPr>
        <w:t xml:space="preserve"> di natura non regolamentare del</w:t>
      </w:r>
      <w:r>
        <w:rPr>
          <w:rFonts w:cs="Times New Roman"/>
          <w:szCs w:val="24"/>
        </w:rPr>
        <w:t xml:space="preserve"> Ministro dell’economia</w:t>
      </w:r>
      <w:r w:rsidRPr="00757BA7">
        <w:rPr>
          <w:rFonts w:cs="Times New Roman"/>
          <w:szCs w:val="24"/>
        </w:rPr>
        <w:t xml:space="preserve"> e delle </w:t>
      </w:r>
      <w:r>
        <w:rPr>
          <w:rFonts w:cs="Times New Roman"/>
          <w:szCs w:val="24"/>
        </w:rPr>
        <w:t>Finanze</w:t>
      </w:r>
      <w:r w:rsidRPr="00757BA7">
        <w:rPr>
          <w:rFonts w:cs="Times New Roman"/>
          <w:szCs w:val="24"/>
        </w:rPr>
        <w:t xml:space="preserve">, di concerto con il Ministro dello </w:t>
      </w:r>
      <w:r>
        <w:rPr>
          <w:rFonts w:cs="Times New Roman"/>
          <w:szCs w:val="24"/>
        </w:rPr>
        <w:t>sviluppo</w:t>
      </w:r>
      <w:r w:rsidRPr="00757BA7">
        <w:rPr>
          <w:rFonts w:cs="Times New Roman"/>
          <w:szCs w:val="24"/>
        </w:rPr>
        <w:t xml:space="preserve"> </w:t>
      </w:r>
      <w:r>
        <w:rPr>
          <w:rFonts w:cs="Times New Roman"/>
          <w:szCs w:val="24"/>
        </w:rPr>
        <w:t>economico</w:t>
      </w:r>
      <w:r w:rsidRPr="00757BA7">
        <w:rPr>
          <w:rFonts w:cs="Times New Roman"/>
          <w:szCs w:val="24"/>
        </w:rPr>
        <w:t>.</w:t>
      </w:r>
    </w:p>
    <w:p w:rsidR="005A44F6" w:rsidRDefault="005A44F6" w:rsidP="005A44F6">
      <w:pPr>
        <w:spacing w:after="120"/>
        <w:rPr>
          <w:rFonts w:cs="Times New Roman"/>
          <w:szCs w:val="24"/>
        </w:rPr>
      </w:pPr>
      <w:r w:rsidRPr="00757BA7">
        <w:rPr>
          <w:rFonts w:cs="Times New Roman"/>
          <w:szCs w:val="24"/>
        </w:rPr>
        <w:t xml:space="preserve">12. L’efficacia dei commi da 1 a 9 è subordinata all’approvazione della Commissione </w:t>
      </w:r>
      <w:r>
        <w:rPr>
          <w:rFonts w:cs="Times New Roman"/>
          <w:szCs w:val="24"/>
        </w:rPr>
        <w:t>Euro</w:t>
      </w:r>
      <w:r w:rsidRPr="00757BA7">
        <w:rPr>
          <w:rFonts w:cs="Times New Roman"/>
          <w:szCs w:val="24"/>
        </w:rPr>
        <w:t xml:space="preserve">pea ai sensi dell’articolo 108 del Trattato sul Funzionamento dell’Unione </w:t>
      </w:r>
      <w:r>
        <w:rPr>
          <w:rFonts w:cs="Times New Roman"/>
          <w:szCs w:val="24"/>
        </w:rPr>
        <w:t>Euro</w:t>
      </w:r>
      <w:r w:rsidRPr="00757BA7">
        <w:rPr>
          <w:rFonts w:cs="Times New Roman"/>
          <w:szCs w:val="24"/>
        </w:rPr>
        <w:t>pea.</w:t>
      </w:r>
    </w:p>
    <w:p w:rsidR="0094693A" w:rsidRPr="0094693A" w:rsidRDefault="00745826" w:rsidP="0094693A">
      <w:pPr>
        <w:rPr>
          <w:rFonts w:cs="Times New Roman"/>
          <w:szCs w:val="24"/>
        </w:rPr>
      </w:pPr>
      <w:r>
        <w:rPr>
          <w:rFonts w:cs="Times New Roman"/>
          <w:szCs w:val="24"/>
        </w:rPr>
        <w:t xml:space="preserve">13. </w:t>
      </w:r>
      <w:r w:rsidR="00CF503F">
        <w:rPr>
          <w:rFonts w:cs="Times New Roman"/>
          <w:szCs w:val="24"/>
        </w:rPr>
        <w:t>Fermo restando il limite complessivo massimo di cui al comma 1, c</w:t>
      </w:r>
      <w:r w:rsidR="0064625E">
        <w:rPr>
          <w:rFonts w:cs="Times New Roman"/>
          <w:szCs w:val="24"/>
        </w:rPr>
        <w:t>on decreto del Ministro dell’economia e delle finanze può essere concessa, in conformità con la normativa dell’Unione europea,</w:t>
      </w:r>
      <w:r w:rsidR="00CF503F">
        <w:rPr>
          <w:rFonts w:cs="Times New Roman"/>
          <w:szCs w:val="24"/>
        </w:rPr>
        <w:t xml:space="preserve"> </w:t>
      </w:r>
      <w:r w:rsidR="0064625E">
        <w:rPr>
          <w:rFonts w:cs="Times New Roman"/>
          <w:szCs w:val="24"/>
        </w:rPr>
        <w:t>la garanzia dello Stato su esposizioni assunte</w:t>
      </w:r>
      <w:r w:rsidR="00FF1BE5">
        <w:rPr>
          <w:rFonts w:cs="Times New Roman"/>
          <w:szCs w:val="24"/>
        </w:rPr>
        <w:t xml:space="preserve"> o da assumere</w:t>
      </w:r>
      <w:r w:rsidR="0064625E">
        <w:rPr>
          <w:rFonts w:cs="Times New Roman"/>
          <w:szCs w:val="24"/>
        </w:rPr>
        <w:t xml:space="preserve"> da CDP S.p.A. entro il 31 dicembre 2020 </w:t>
      </w:r>
      <w:r w:rsidR="00FF1BE5">
        <w:rPr>
          <w:rFonts w:cs="Times New Roman"/>
          <w:szCs w:val="24"/>
        </w:rPr>
        <w:t xml:space="preserve">derivanti da garanzie, anche nella forma di garanzie di prima perdita, su </w:t>
      </w:r>
      <w:r w:rsidR="0064625E">
        <w:rPr>
          <w:rFonts w:cs="Times New Roman"/>
          <w:szCs w:val="24"/>
        </w:rPr>
        <w:t>portafogli di finanziamenti concessi</w:t>
      </w:r>
      <w:r w:rsidR="00FF1BE5">
        <w:rPr>
          <w:rFonts w:cs="Times New Roman"/>
          <w:szCs w:val="24"/>
        </w:rPr>
        <w:t>, in qualsiasi forma,</w:t>
      </w:r>
      <w:r w:rsidR="0064625E">
        <w:rPr>
          <w:rFonts w:cs="Times New Roman"/>
          <w:szCs w:val="24"/>
        </w:rPr>
        <w:t xml:space="preserve"> </w:t>
      </w:r>
      <w:r w:rsidR="00FF1BE5" w:rsidRPr="00FF1BE5">
        <w:rPr>
          <w:rFonts w:cs="Times New Roman"/>
          <w:szCs w:val="24"/>
        </w:rPr>
        <w:t>d</w:t>
      </w:r>
      <w:r w:rsidR="00FF1BE5">
        <w:rPr>
          <w:rFonts w:cs="Times New Roman"/>
          <w:szCs w:val="24"/>
        </w:rPr>
        <w:t xml:space="preserve">a </w:t>
      </w:r>
      <w:r w:rsidR="00FF1BE5" w:rsidRPr="00FF1BE5">
        <w:rPr>
          <w:rFonts w:cs="Times New Roman"/>
          <w:szCs w:val="24"/>
        </w:rPr>
        <w:t>banche e d</w:t>
      </w:r>
      <w:r w:rsidR="00FF1BE5">
        <w:rPr>
          <w:rFonts w:cs="Times New Roman"/>
          <w:szCs w:val="24"/>
        </w:rPr>
        <w:t xml:space="preserve">a </w:t>
      </w:r>
      <w:r w:rsidR="00FF1BE5" w:rsidRPr="00FF1BE5">
        <w:rPr>
          <w:rFonts w:cs="Times New Roman"/>
          <w:szCs w:val="24"/>
        </w:rPr>
        <w:t xml:space="preserve">altri soggetti </w:t>
      </w:r>
      <w:r w:rsidR="00FF1BE5">
        <w:rPr>
          <w:rFonts w:cs="Times New Roman"/>
          <w:szCs w:val="24"/>
        </w:rPr>
        <w:t>abilitati</w:t>
      </w:r>
      <w:r w:rsidR="00FF1BE5" w:rsidRPr="00FF1BE5">
        <w:rPr>
          <w:rFonts w:cs="Times New Roman"/>
          <w:szCs w:val="24"/>
        </w:rPr>
        <w:t xml:space="preserve"> all’esercizio del credito</w:t>
      </w:r>
      <w:r w:rsidR="00FF1BE5">
        <w:rPr>
          <w:rFonts w:cs="Times New Roman"/>
          <w:szCs w:val="24"/>
        </w:rPr>
        <w:t xml:space="preserve"> in Italia</w:t>
      </w:r>
      <w:r w:rsidR="00FF1BE5" w:rsidRPr="00FF1BE5">
        <w:rPr>
          <w:rFonts w:cs="Times New Roman"/>
          <w:szCs w:val="24"/>
        </w:rPr>
        <w:t xml:space="preserve"> alle imprese </w:t>
      </w:r>
      <w:r w:rsidR="00FF1BE5">
        <w:rPr>
          <w:rFonts w:cs="Times New Roman"/>
          <w:szCs w:val="24"/>
        </w:rPr>
        <w:t xml:space="preserve">con sede in Italia </w:t>
      </w:r>
      <w:r w:rsidR="00FF1BE5" w:rsidRPr="00FF1BE5">
        <w:rPr>
          <w:rFonts w:cs="Times New Roman"/>
          <w:szCs w:val="24"/>
        </w:rPr>
        <w:t>che hanno sofferto una riduzione del fatturato a causa dell’</w:t>
      </w:r>
      <w:r w:rsidR="00E73B92">
        <w:rPr>
          <w:rFonts w:cs="Times New Roman"/>
          <w:szCs w:val="24"/>
        </w:rPr>
        <w:t>emergenza epidemiologica da “COVID</w:t>
      </w:r>
      <w:r w:rsidR="00FF1BE5" w:rsidRPr="00FF1BE5">
        <w:rPr>
          <w:rFonts w:cs="Times New Roman"/>
          <w:szCs w:val="24"/>
        </w:rPr>
        <w:t>-19”</w:t>
      </w:r>
      <w:r w:rsidR="00FF1BE5">
        <w:rPr>
          <w:rFonts w:cs="Times New Roman"/>
          <w:szCs w:val="24"/>
        </w:rPr>
        <w:t xml:space="preserve"> </w:t>
      </w:r>
      <w:r w:rsidR="009D659A">
        <w:rPr>
          <w:rFonts w:cs="Times New Roman"/>
          <w:szCs w:val="24"/>
        </w:rPr>
        <w:t xml:space="preserve"> e che prevedano modalità tali da assicurare la concessione da parte dei soggetti finanziatori di nuovi finanziamenti in funzione dell’ammontare del capitale regolamentare liberato per effetto delle garanzie stesse.</w:t>
      </w:r>
      <w:r w:rsidR="0094693A" w:rsidRPr="0094693A">
        <w:rPr>
          <w:rFonts w:cs="Times New Roman"/>
          <w:szCs w:val="24"/>
        </w:rPr>
        <w:t xml:space="preserve"> </w:t>
      </w:r>
      <w:r w:rsidR="00FF1BE5" w:rsidRPr="0094693A">
        <w:rPr>
          <w:rFonts w:cs="Times New Roman"/>
          <w:szCs w:val="24"/>
        </w:rPr>
        <w:lastRenderedPageBreak/>
        <w:t>La garanzia è a prima richiesta, incondizionata, esplicita, irrevocabile, e conforme ai requisiti previsti dalla normativa di vigilanza prudenziale ai fini della migliore mitigazione del rischio.</w:t>
      </w:r>
      <w:r w:rsidR="00FF1BE5">
        <w:rPr>
          <w:rFonts w:cs="Times New Roman"/>
          <w:szCs w:val="24"/>
        </w:rPr>
        <w:t xml:space="preserve"> </w:t>
      </w:r>
      <w:r w:rsidR="00E93105">
        <w:rPr>
          <w:rFonts w:cs="Times New Roman"/>
          <w:szCs w:val="24"/>
        </w:rPr>
        <w:t>L’ammontare delle</w:t>
      </w:r>
      <w:r w:rsidR="00E73B92">
        <w:rPr>
          <w:rFonts w:cs="Times New Roman"/>
          <w:szCs w:val="24"/>
        </w:rPr>
        <w:t xml:space="preserve"> garanzi</w:t>
      </w:r>
      <w:r w:rsidR="00CF503F">
        <w:rPr>
          <w:rFonts w:cs="Times New Roman"/>
          <w:szCs w:val="24"/>
        </w:rPr>
        <w:t xml:space="preserve">e concesse </w:t>
      </w:r>
    </w:p>
    <w:p w:rsidR="005A44F6" w:rsidRPr="00757BA7" w:rsidRDefault="005A44F6" w:rsidP="005A44F6">
      <w:pPr>
        <w:spacing w:after="120"/>
        <w:rPr>
          <w:rFonts w:cs="Times New Roman"/>
          <w:szCs w:val="24"/>
        </w:rPr>
      </w:pPr>
      <w:r w:rsidRPr="00757BA7">
        <w:rPr>
          <w:rFonts w:cs="Times New Roman"/>
          <w:szCs w:val="24"/>
        </w:rPr>
        <w:t>1</w:t>
      </w:r>
      <w:r w:rsidR="00745826">
        <w:rPr>
          <w:rFonts w:cs="Times New Roman"/>
          <w:szCs w:val="24"/>
        </w:rPr>
        <w:t>4</w:t>
      </w:r>
      <w:r w:rsidRPr="00757BA7">
        <w:rPr>
          <w:rFonts w:cs="Times New Roman"/>
          <w:szCs w:val="24"/>
        </w:rPr>
        <w:t>. È istituito nello stato di previsione del Ministero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xml:space="preserve">, un fondo a copertura delle garanzie concesse ai sensi </w:t>
      </w:r>
      <w:r w:rsidR="00E93105" w:rsidRPr="00757BA7">
        <w:rPr>
          <w:rFonts w:cs="Times New Roman"/>
          <w:szCs w:val="24"/>
        </w:rPr>
        <w:t>de</w:t>
      </w:r>
      <w:r w:rsidR="00E93105">
        <w:rPr>
          <w:rFonts w:cs="Times New Roman"/>
          <w:szCs w:val="24"/>
        </w:rPr>
        <w:t xml:space="preserve">i </w:t>
      </w:r>
      <w:r w:rsidR="00E93105" w:rsidRPr="00757BA7">
        <w:rPr>
          <w:rFonts w:cs="Times New Roman"/>
          <w:szCs w:val="24"/>
        </w:rPr>
        <w:t>commi</w:t>
      </w:r>
      <w:r w:rsidRPr="00757BA7">
        <w:rPr>
          <w:rFonts w:cs="Times New Roman"/>
          <w:szCs w:val="24"/>
        </w:rPr>
        <w:t xml:space="preserve"> 5</w:t>
      </w:r>
      <w:r w:rsidR="00F17D8A">
        <w:rPr>
          <w:rFonts w:cs="Times New Roman"/>
          <w:szCs w:val="24"/>
        </w:rPr>
        <w:t xml:space="preserve"> e 13</w:t>
      </w:r>
      <w:r w:rsidRPr="00757BA7">
        <w:rPr>
          <w:rFonts w:cs="Times New Roman"/>
          <w:szCs w:val="24"/>
        </w:rPr>
        <w:t>, nonché di quelle concesse ai sensi dell’articolo 6, comma 14-bis</w:t>
      </w:r>
      <w:r>
        <w:rPr>
          <w:rFonts w:cs="Times New Roman"/>
          <w:szCs w:val="24"/>
        </w:rPr>
        <w:t>,</w:t>
      </w:r>
      <w:r w:rsidRPr="00757BA7">
        <w:rPr>
          <w:rFonts w:cs="Times New Roman"/>
          <w:szCs w:val="24"/>
        </w:rPr>
        <w:t xml:space="preserve"> del </w:t>
      </w:r>
      <w:r>
        <w:rPr>
          <w:rFonts w:cs="Times New Roman"/>
          <w:szCs w:val="24"/>
        </w:rPr>
        <w:t>decreto</w:t>
      </w:r>
      <w:r w:rsidRPr="00757BA7">
        <w:rPr>
          <w:rFonts w:cs="Times New Roman"/>
          <w:szCs w:val="24"/>
        </w:rPr>
        <w:t xml:space="preserve">-legge 30 settembre 2003, n. 269, convertito, con modificazioni, dalla legge 24 novembre 2003, n. 326, con una dotazione iniziale di 1.000 milioni di </w:t>
      </w:r>
      <w:r>
        <w:rPr>
          <w:rFonts w:cs="Times New Roman"/>
          <w:szCs w:val="24"/>
        </w:rPr>
        <w:t>euro</w:t>
      </w:r>
      <w:r w:rsidRPr="00757BA7">
        <w:rPr>
          <w:rFonts w:cs="Times New Roman"/>
          <w:szCs w:val="24"/>
        </w:rPr>
        <w:t xml:space="preserve"> per l’anno 2020. Al relativo onere si provvede mediante versamento all'entrata del bilancio dello Stato, per un corrispondente importo, delle risorse disponibili sulla contabilità speciale di cui all'articolo 37, comma 6, del </w:t>
      </w:r>
      <w:r>
        <w:rPr>
          <w:rFonts w:cs="Times New Roman"/>
          <w:szCs w:val="24"/>
        </w:rPr>
        <w:t>decreto</w:t>
      </w:r>
      <w:r w:rsidRPr="00757BA7">
        <w:rPr>
          <w:rFonts w:cs="Times New Roman"/>
          <w:szCs w:val="24"/>
        </w:rPr>
        <w:t>-legge 24 aprile 2014, n. 66, convertito, con modificazioni, dalla legge 23 giugno 2014, n. 89.  Per la gestione del fondo è autorizzata l’apertura di apposito conto corrente di tesoreria centrale.</w:t>
      </w:r>
    </w:p>
    <w:p w:rsidR="005A44F6" w:rsidRDefault="005A44F6" w:rsidP="005A44F6">
      <w:pPr>
        <w:spacing w:after="120"/>
        <w:rPr>
          <w:rFonts w:cs="Times New Roman"/>
          <w:szCs w:val="24"/>
        </w:rPr>
      </w:pPr>
    </w:p>
    <w:p w:rsidR="008223F1" w:rsidRPr="00757BA7" w:rsidRDefault="008223F1" w:rsidP="008223F1">
      <w:pPr>
        <w:spacing w:after="120"/>
        <w:jc w:val="center"/>
        <w:rPr>
          <w:rFonts w:cs="Times New Roman"/>
          <w:szCs w:val="24"/>
        </w:rPr>
      </w:pPr>
      <w:r w:rsidRPr="00757BA7">
        <w:rPr>
          <w:rFonts w:cs="Times New Roman"/>
          <w:szCs w:val="24"/>
        </w:rPr>
        <w:t>Articolo</w:t>
      </w:r>
      <w:r>
        <w:rPr>
          <w:rFonts w:cs="Times New Roman"/>
          <w:szCs w:val="24"/>
        </w:rPr>
        <w:t xml:space="preserve"> 2</w:t>
      </w:r>
    </w:p>
    <w:p w:rsidR="008223F1" w:rsidRPr="00757BA7" w:rsidRDefault="008223F1" w:rsidP="008223F1">
      <w:pPr>
        <w:spacing w:after="120"/>
        <w:jc w:val="center"/>
        <w:rPr>
          <w:rFonts w:cs="Times New Roman"/>
          <w:szCs w:val="24"/>
        </w:rPr>
      </w:pPr>
      <w:r w:rsidRPr="00757BA7">
        <w:rPr>
          <w:rFonts w:cs="Times New Roman"/>
          <w:szCs w:val="24"/>
        </w:rPr>
        <w:t>(Misure per il sostegno all’esportazione, all’internazionalizzazione</w:t>
      </w:r>
    </w:p>
    <w:p w:rsidR="008223F1" w:rsidRPr="00757BA7" w:rsidRDefault="008223F1" w:rsidP="008223F1">
      <w:pPr>
        <w:spacing w:after="120"/>
        <w:jc w:val="center"/>
        <w:rPr>
          <w:rFonts w:cs="Times New Roman"/>
          <w:szCs w:val="24"/>
        </w:rPr>
      </w:pPr>
      <w:r w:rsidRPr="00757BA7">
        <w:rPr>
          <w:rFonts w:cs="Times New Roman"/>
          <w:szCs w:val="24"/>
        </w:rPr>
        <w:t>e agli investimenti delle imprese)</w:t>
      </w:r>
    </w:p>
    <w:p w:rsidR="008223F1" w:rsidRPr="00757BA7" w:rsidRDefault="008223F1" w:rsidP="008223F1">
      <w:pPr>
        <w:spacing w:after="120"/>
        <w:rPr>
          <w:rFonts w:cs="Times New Roman"/>
          <w:szCs w:val="24"/>
        </w:rPr>
      </w:pPr>
    </w:p>
    <w:p w:rsidR="008223F1" w:rsidRPr="00757BA7" w:rsidRDefault="008223F1" w:rsidP="008223F1">
      <w:pPr>
        <w:spacing w:after="120"/>
        <w:rPr>
          <w:rFonts w:cs="Times New Roman"/>
          <w:szCs w:val="24"/>
        </w:rPr>
      </w:pPr>
      <w:r w:rsidRPr="00757BA7">
        <w:rPr>
          <w:rFonts w:cs="Times New Roman"/>
          <w:szCs w:val="24"/>
        </w:rPr>
        <w:t xml:space="preserve">1. All’articolo 6 del </w:t>
      </w:r>
      <w:r>
        <w:rPr>
          <w:rFonts w:cs="Times New Roman"/>
          <w:szCs w:val="24"/>
        </w:rPr>
        <w:t>decreto</w:t>
      </w:r>
      <w:r w:rsidRPr="00757BA7">
        <w:rPr>
          <w:rFonts w:cs="Times New Roman"/>
          <w:szCs w:val="24"/>
        </w:rPr>
        <w:t>-legge 30 settembre 2003, n. 269, convertito in legge con modificazioni, dall’articolo 1, comma 1, d</w:t>
      </w:r>
      <w:r>
        <w:rPr>
          <w:rFonts w:cs="Times New Roman"/>
          <w:szCs w:val="24"/>
        </w:rPr>
        <w:t>e</w:t>
      </w:r>
      <w:r w:rsidRPr="00757BA7">
        <w:rPr>
          <w:rFonts w:cs="Times New Roman"/>
          <w:szCs w:val="24"/>
        </w:rPr>
        <w:t>lla legge 24 novembre 2003, n. 326, sono apportate le seguenti modificazioni:</w:t>
      </w:r>
    </w:p>
    <w:p w:rsidR="008223F1" w:rsidRPr="00757BA7" w:rsidRDefault="008223F1" w:rsidP="008223F1">
      <w:pPr>
        <w:spacing w:after="120"/>
        <w:rPr>
          <w:rFonts w:cs="Times New Roman"/>
          <w:szCs w:val="24"/>
        </w:rPr>
      </w:pPr>
      <w:r w:rsidRPr="00757BA7">
        <w:rPr>
          <w:rFonts w:cs="Times New Roman"/>
          <w:szCs w:val="24"/>
        </w:rPr>
        <w:t>a) al comma 9, dopo il primo periodo, è inserito il seguente: “SACE S.p.A. favorisce l’internazionalizzazione del settore produttivo italiano, privilegiando gli impegni nei settori strategici per l’</w:t>
      </w:r>
      <w:r>
        <w:rPr>
          <w:rFonts w:cs="Times New Roman"/>
          <w:szCs w:val="24"/>
        </w:rPr>
        <w:t>economia</w:t>
      </w:r>
      <w:r w:rsidRPr="00757BA7">
        <w:rPr>
          <w:rFonts w:cs="Times New Roman"/>
          <w:szCs w:val="24"/>
        </w:rPr>
        <w:t xml:space="preserve"> italiana in termini di livelli occupazionali e ricadute per il sistema </w:t>
      </w:r>
      <w:r>
        <w:rPr>
          <w:rFonts w:cs="Times New Roman"/>
          <w:szCs w:val="24"/>
        </w:rPr>
        <w:t>economico</w:t>
      </w:r>
      <w:r w:rsidRPr="00757BA7">
        <w:rPr>
          <w:rFonts w:cs="Times New Roman"/>
          <w:szCs w:val="24"/>
        </w:rPr>
        <w:t xml:space="preserve"> del Paese, nonché gli impegni per operazioni destinate a Paesi strategici per l’Italia</w:t>
      </w:r>
      <w:r w:rsidR="006A2FC9">
        <w:rPr>
          <w:rFonts w:cs="Times New Roman"/>
          <w:szCs w:val="24"/>
        </w:rPr>
        <w:t>.</w:t>
      </w:r>
      <w:r w:rsidRPr="00757BA7">
        <w:rPr>
          <w:rFonts w:cs="Times New Roman"/>
          <w:szCs w:val="24"/>
        </w:rPr>
        <w:t>”;</w:t>
      </w:r>
    </w:p>
    <w:p w:rsidR="008223F1" w:rsidRPr="00757BA7" w:rsidRDefault="008223F1" w:rsidP="008223F1">
      <w:pPr>
        <w:spacing w:after="120"/>
        <w:rPr>
          <w:rFonts w:cs="Times New Roman"/>
          <w:szCs w:val="24"/>
        </w:rPr>
      </w:pPr>
      <w:r w:rsidRPr="00757BA7">
        <w:rPr>
          <w:rFonts w:cs="Times New Roman"/>
          <w:szCs w:val="24"/>
        </w:rPr>
        <w:t>b) i commi 9-bis, 9-ter, 9-quater, 9-quinquies, 9-sexies, 9-septies e 9-octies sono sostituiti dai seguenti:</w:t>
      </w:r>
    </w:p>
    <w:p w:rsidR="008223F1" w:rsidRPr="00757BA7" w:rsidRDefault="008223F1" w:rsidP="008223F1">
      <w:pPr>
        <w:spacing w:after="120"/>
        <w:rPr>
          <w:rFonts w:cs="Times New Roman"/>
          <w:szCs w:val="24"/>
        </w:rPr>
      </w:pPr>
      <w:r w:rsidRPr="00757BA7">
        <w:rPr>
          <w:rFonts w:cs="Times New Roman"/>
          <w:szCs w:val="24"/>
        </w:rPr>
        <w:t xml:space="preserve">“9-bis. SACE S.p.A. assume gli impegni derivanti dall’attività assicurativa e di garanzia dei rischi definiti non di mercato dalla normativa dell’Unione </w:t>
      </w:r>
      <w:r>
        <w:rPr>
          <w:rFonts w:cs="Times New Roman"/>
          <w:szCs w:val="24"/>
        </w:rPr>
        <w:t>Euro</w:t>
      </w:r>
      <w:r w:rsidRPr="00757BA7">
        <w:rPr>
          <w:rFonts w:cs="Times New Roman"/>
          <w:szCs w:val="24"/>
        </w:rPr>
        <w:t>pea, di cui al comma 9</w:t>
      </w:r>
      <w:r>
        <w:rPr>
          <w:rFonts w:cs="Times New Roman"/>
          <w:szCs w:val="24"/>
        </w:rPr>
        <w:t>,</w:t>
      </w:r>
      <w:r w:rsidRPr="00757BA7">
        <w:rPr>
          <w:rFonts w:cs="Times New Roman"/>
          <w:szCs w:val="24"/>
        </w:rPr>
        <w:t xml:space="preserve"> nella misura del dieci per cento del capitale e degli interessi di ciascun impegno. Il novanta per cento dei medesimi impegni è assunto dallo Stato in conformità con il presente articolo, senza vincolo </w:t>
      </w:r>
      <w:r w:rsidRPr="00757BA7">
        <w:rPr>
          <w:rFonts w:cs="Times New Roman"/>
          <w:szCs w:val="24"/>
        </w:rPr>
        <w:lastRenderedPageBreak/>
        <w:t>di solidarietà. La legge di bilancio definisce i limiti cumulati di assunzione degli impegni da parte di SACE S.p.A. e del Ministero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per conto dello Stato,</w:t>
      </w:r>
      <w:r w:rsidRPr="00757BA7">
        <w:rPr>
          <w:rFonts w:cs="Times New Roman"/>
          <w:b/>
          <w:szCs w:val="24"/>
        </w:rPr>
        <w:t xml:space="preserve"> </w:t>
      </w:r>
      <w:r w:rsidRPr="00757BA7">
        <w:rPr>
          <w:rFonts w:cs="Times New Roman"/>
          <w:szCs w:val="24"/>
        </w:rPr>
        <w:t xml:space="preserve">sulla base del piano di attività approvato dal Comitato </w:t>
      </w:r>
      <w:r>
        <w:rPr>
          <w:rFonts w:cs="Times New Roman"/>
          <w:szCs w:val="24"/>
        </w:rPr>
        <w:t xml:space="preserve">per il sostegno pubblico all’esportazione </w:t>
      </w:r>
      <w:r w:rsidRPr="00757BA7">
        <w:rPr>
          <w:rFonts w:cs="Times New Roman"/>
          <w:szCs w:val="24"/>
        </w:rPr>
        <w:t>di cui al comma 9-sexies.</w:t>
      </w:r>
    </w:p>
    <w:p w:rsidR="008223F1" w:rsidRPr="00757BA7" w:rsidRDefault="008223F1" w:rsidP="008223F1">
      <w:pPr>
        <w:spacing w:after="120"/>
        <w:rPr>
          <w:rFonts w:cs="Times New Roman"/>
          <w:szCs w:val="24"/>
        </w:rPr>
      </w:pPr>
      <w:r w:rsidRPr="00757BA7">
        <w:rPr>
          <w:rFonts w:cs="Times New Roman"/>
          <w:szCs w:val="24"/>
        </w:rPr>
        <w:t>9-ter. SACE S.p.A. rilascia le garanzie e le coperture assicurative da cui derivano gli impegni di cui al comma 9-bis in nome proprio e per conto dello Stato. Il rilascio delle garanzie e delle coperture assicurative relative ad operazioni riguardanti settori strategici per l’</w:t>
      </w:r>
      <w:r>
        <w:rPr>
          <w:rFonts w:cs="Times New Roman"/>
          <w:szCs w:val="24"/>
        </w:rPr>
        <w:t>economia</w:t>
      </w:r>
      <w:r w:rsidRPr="00757BA7">
        <w:rPr>
          <w:rFonts w:cs="Times New Roman"/>
          <w:szCs w:val="24"/>
        </w:rPr>
        <w:t xml:space="preserve"> italiana in termini di livelli occupazionali e ricadute per il sistema </w:t>
      </w:r>
      <w:r>
        <w:rPr>
          <w:rFonts w:cs="Times New Roman"/>
          <w:szCs w:val="24"/>
        </w:rPr>
        <w:t>economico</w:t>
      </w:r>
      <w:r w:rsidRPr="00757BA7">
        <w:rPr>
          <w:rFonts w:cs="Times New Roman"/>
          <w:szCs w:val="24"/>
        </w:rPr>
        <w:t xml:space="preserve"> del Paese, nonché gli impegni per operazioni destinate a Paesi strategici per l’Italia, che sono in grado di determinare elevati rischi di concentrazione verso singole controparti, gruppi di controparti connesse o paesi di destinazione, rispetto al portafoglio complessivamente assicurato da SACE S.p.A. e dal Ministero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xml:space="preserve">, è preventivamente autorizzato con </w:t>
      </w:r>
      <w:r>
        <w:rPr>
          <w:rFonts w:cs="Times New Roman"/>
          <w:szCs w:val="24"/>
        </w:rPr>
        <w:t>decreto</w:t>
      </w:r>
      <w:r w:rsidRPr="00757BA7">
        <w:rPr>
          <w:rFonts w:cs="Times New Roman"/>
          <w:szCs w:val="24"/>
        </w:rPr>
        <w:t xml:space="preserve"> del Ministro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xml:space="preserve">, sentito il Comitato </w:t>
      </w:r>
      <w:r>
        <w:rPr>
          <w:rFonts w:cs="Times New Roman"/>
          <w:szCs w:val="24"/>
        </w:rPr>
        <w:t xml:space="preserve">per il sostegno pubblico all’esportazione </w:t>
      </w:r>
      <w:r w:rsidRPr="00757BA7">
        <w:rPr>
          <w:rFonts w:cs="Times New Roman"/>
          <w:szCs w:val="24"/>
        </w:rPr>
        <w:t>istituito ai sensi del comma 9-sexies. Le garanzie e le coperture assicurative prevedono che la richiesta di indennizzo e qua</w:t>
      </w:r>
      <w:r>
        <w:rPr>
          <w:rFonts w:cs="Times New Roman"/>
          <w:szCs w:val="24"/>
        </w:rPr>
        <w:t>lsiasi comunicazione o istanza sono rivolte</w:t>
      </w:r>
      <w:r w:rsidRPr="00757BA7">
        <w:rPr>
          <w:rFonts w:cs="Times New Roman"/>
          <w:szCs w:val="24"/>
        </w:rPr>
        <w:t xml:space="preserve"> unicamente a SACE S.p.A.</w:t>
      </w:r>
    </w:p>
    <w:p w:rsidR="008223F1" w:rsidRPr="00757BA7" w:rsidRDefault="008223F1" w:rsidP="008223F1">
      <w:pPr>
        <w:spacing w:after="120"/>
        <w:rPr>
          <w:rFonts w:cs="Times New Roman"/>
          <w:szCs w:val="24"/>
        </w:rPr>
      </w:pPr>
      <w:r w:rsidRPr="00757BA7">
        <w:rPr>
          <w:rFonts w:cs="Times New Roman"/>
          <w:szCs w:val="24"/>
        </w:rPr>
        <w:t>9-quater. A decorrere dall’anno 2020 nello stato di previsione del Ministero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xml:space="preserve"> è istituito un fondo a copertura degli impegni assunti dallo Stato ai sensi del presente articolo. Tale fondo è alimentato con i premi riscossi da SACE S.p.A. per conto del Ministero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al netto delle commissioni trattenute da SACE S.p.A., come determinate dalla convenzione di cui al comma 9-quinquies. I premi di cui al periodo precedente sono versati all’entrata del bilancio dello Stato per la successiva riass</w:t>
      </w:r>
      <w:r>
        <w:rPr>
          <w:rFonts w:cs="Times New Roman"/>
          <w:szCs w:val="24"/>
        </w:rPr>
        <w:t>egnazione in spesa al predetto f</w:t>
      </w:r>
      <w:r w:rsidRPr="00757BA7">
        <w:rPr>
          <w:rFonts w:cs="Times New Roman"/>
          <w:szCs w:val="24"/>
        </w:rPr>
        <w:t>ondo. La gestione del fondo è affidata a SACE S.p.A. che opera secondo adeguati standard prudenziali di gestione del rischio. Il</w:t>
      </w:r>
      <w:r>
        <w:rPr>
          <w:rFonts w:cs="Times New Roman"/>
          <w:szCs w:val="24"/>
        </w:rPr>
        <w:t xml:space="preserve"> </w:t>
      </w:r>
      <w:r w:rsidRPr="00757BA7">
        <w:rPr>
          <w:rFonts w:cs="Times New Roman"/>
          <w:szCs w:val="24"/>
        </w:rPr>
        <w:t>Ministero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xml:space="preserve"> impartisce indirizzi a SACE S.p.A. sulla gestione del fondo. Per la gestione del fondo è autorizzata l’apertura di apposito conto corrente di tesoreria centrale.</w:t>
      </w:r>
    </w:p>
    <w:p w:rsidR="008223F1" w:rsidRPr="00757BA7" w:rsidRDefault="008223F1" w:rsidP="008223F1">
      <w:pPr>
        <w:spacing w:after="120"/>
        <w:rPr>
          <w:rFonts w:cs="Times New Roman"/>
          <w:szCs w:val="24"/>
        </w:rPr>
      </w:pPr>
      <w:r w:rsidRPr="00757BA7">
        <w:rPr>
          <w:rFonts w:cs="Times New Roman"/>
          <w:szCs w:val="24"/>
        </w:rPr>
        <w:t>9-quinquies. Il Ministero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xml:space="preserve"> e SACE S.p.A. disciplinano con convenzione, di durata decennale, approvata con </w:t>
      </w:r>
      <w:r>
        <w:rPr>
          <w:rFonts w:cs="Times New Roman"/>
          <w:szCs w:val="24"/>
        </w:rPr>
        <w:t>decreto</w:t>
      </w:r>
      <w:r w:rsidRPr="00757BA7">
        <w:rPr>
          <w:rFonts w:cs="Times New Roman"/>
          <w:szCs w:val="24"/>
        </w:rPr>
        <w:t xml:space="preserve"> del Presidente del Consiglio dei Ministri su proposta del Ministro dell’</w:t>
      </w:r>
      <w:r>
        <w:rPr>
          <w:rFonts w:cs="Times New Roman"/>
          <w:szCs w:val="24"/>
        </w:rPr>
        <w:t>economia</w:t>
      </w:r>
      <w:r w:rsidRPr="00757BA7">
        <w:rPr>
          <w:rFonts w:cs="Times New Roman"/>
          <w:szCs w:val="24"/>
        </w:rPr>
        <w:t xml:space="preserve"> e delle </w:t>
      </w:r>
      <w:r>
        <w:rPr>
          <w:rFonts w:cs="Times New Roman"/>
          <w:szCs w:val="24"/>
        </w:rPr>
        <w:t>finanze</w:t>
      </w:r>
      <w:r w:rsidR="00660A34">
        <w:rPr>
          <w:rFonts w:cs="Times New Roman"/>
          <w:szCs w:val="24"/>
        </w:rPr>
        <w:t xml:space="preserve"> di concerto con il Ministro degli affari esteri e della cooperazione internazionale</w:t>
      </w:r>
      <w:r w:rsidRPr="00757BA7">
        <w:rPr>
          <w:rFonts w:cs="Times New Roman"/>
          <w:szCs w:val="24"/>
        </w:rPr>
        <w:t>, di natura non regolamentare e sottoposto alla registrazione della Corte dei Conti:</w:t>
      </w:r>
    </w:p>
    <w:p w:rsidR="008223F1" w:rsidRPr="00757BA7" w:rsidRDefault="006A2FC9" w:rsidP="006A2FC9">
      <w:pPr>
        <w:spacing w:after="120"/>
        <w:rPr>
          <w:rFonts w:cs="Times New Roman"/>
          <w:szCs w:val="24"/>
        </w:rPr>
      </w:pPr>
      <w:r>
        <w:rPr>
          <w:rFonts w:cs="Times New Roman"/>
          <w:szCs w:val="24"/>
        </w:rPr>
        <w:lastRenderedPageBreak/>
        <w:t>a)</w:t>
      </w:r>
      <w:r>
        <w:rPr>
          <w:rFonts w:cs="Times New Roman"/>
          <w:szCs w:val="24"/>
        </w:rPr>
        <w:tab/>
      </w:r>
      <w:r w:rsidR="008223F1" w:rsidRPr="00757BA7">
        <w:rPr>
          <w:rFonts w:cs="Times New Roman"/>
          <w:szCs w:val="24"/>
        </w:rPr>
        <w:t>lo svolgimento da parte di SACE S.p.A. dell’attività istruttoria delle operazioni da cui derivano gli impegni da assumere ai sensi del comma 9-bis;</w:t>
      </w:r>
    </w:p>
    <w:p w:rsidR="008223F1" w:rsidRPr="00757BA7" w:rsidRDefault="008223F1" w:rsidP="006A2FC9">
      <w:pPr>
        <w:spacing w:after="120"/>
        <w:rPr>
          <w:rFonts w:cs="Times New Roman"/>
          <w:szCs w:val="24"/>
        </w:rPr>
      </w:pPr>
      <w:r w:rsidRPr="00757BA7">
        <w:rPr>
          <w:rFonts w:cs="Times New Roman"/>
          <w:szCs w:val="24"/>
        </w:rPr>
        <w:t>b</w:t>
      </w:r>
      <w:r w:rsidR="005466AF">
        <w:rPr>
          <w:rFonts w:cs="Times New Roman"/>
          <w:szCs w:val="24"/>
        </w:rPr>
        <w:t>)</w:t>
      </w:r>
      <w:r w:rsidR="005466AF">
        <w:rPr>
          <w:rFonts w:cs="Times New Roman"/>
          <w:szCs w:val="24"/>
        </w:rPr>
        <w:tab/>
      </w:r>
      <w:r w:rsidRPr="00757BA7">
        <w:rPr>
          <w:rFonts w:cs="Times New Roman"/>
          <w:szCs w:val="24"/>
        </w:rPr>
        <w:t>le procedure per il rilascio delle garanzie e delle coperture assicurative da parte di SACE S.p.A. quando non è prevista l’autorizzazione preventiva del Ministro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xml:space="preserve"> ai sensi del comma 9-ter;</w:t>
      </w:r>
    </w:p>
    <w:p w:rsidR="008223F1" w:rsidRPr="00757BA7" w:rsidRDefault="005466AF" w:rsidP="005466AF">
      <w:pPr>
        <w:spacing w:after="120"/>
        <w:rPr>
          <w:rFonts w:cs="Times New Roman"/>
          <w:szCs w:val="24"/>
        </w:rPr>
      </w:pPr>
      <w:r>
        <w:rPr>
          <w:rFonts w:cs="Times New Roman"/>
          <w:szCs w:val="24"/>
        </w:rPr>
        <w:t>c)</w:t>
      </w:r>
      <w:r>
        <w:rPr>
          <w:rFonts w:cs="Times New Roman"/>
          <w:szCs w:val="24"/>
        </w:rPr>
        <w:tab/>
      </w:r>
      <w:r w:rsidR="008223F1" w:rsidRPr="00757BA7">
        <w:rPr>
          <w:rFonts w:cs="Times New Roman"/>
          <w:szCs w:val="24"/>
        </w:rPr>
        <w:t>la gestione, anche per conto del Ministero dell’</w:t>
      </w:r>
      <w:r w:rsidR="008223F1">
        <w:rPr>
          <w:rFonts w:cs="Times New Roman"/>
          <w:szCs w:val="24"/>
        </w:rPr>
        <w:t>economia</w:t>
      </w:r>
      <w:r w:rsidR="008223F1" w:rsidRPr="00757BA7">
        <w:rPr>
          <w:rFonts w:cs="Times New Roman"/>
          <w:szCs w:val="24"/>
        </w:rPr>
        <w:t xml:space="preserve"> e delle </w:t>
      </w:r>
      <w:r w:rsidR="008223F1">
        <w:rPr>
          <w:rFonts w:cs="Times New Roman"/>
          <w:szCs w:val="24"/>
        </w:rPr>
        <w:t>finanze</w:t>
      </w:r>
      <w:r w:rsidR="008223F1" w:rsidRPr="00757BA7">
        <w:rPr>
          <w:rFonts w:cs="Times New Roman"/>
          <w:szCs w:val="24"/>
        </w:rPr>
        <w:t xml:space="preserve">, degli impegni in essere, ivi inclusi l’esercizio, a tutela dei diritti di SACE </w:t>
      </w:r>
      <w:r w:rsidR="008223F1">
        <w:rPr>
          <w:rFonts w:cs="Times New Roman"/>
          <w:szCs w:val="24"/>
        </w:rPr>
        <w:t xml:space="preserve">S.p.A. </w:t>
      </w:r>
      <w:r w:rsidR="008223F1" w:rsidRPr="00757BA7">
        <w:rPr>
          <w:rFonts w:cs="Times New Roman"/>
          <w:szCs w:val="24"/>
        </w:rPr>
        <w:t>e del Ministero dell’</w:t>
      </w:r>
      <w:r w:rsidR="008223F1">
        <w:rPr>
          <w:rFonts w:cs="Times New Roman"/>
          <w:szCs w:val="24"/>
        </w:rPr>
        <w:t>economia</w:t>
      </w:r>
      <w:r w:rsidR="008223F1" w:rsidRPr="00757BA7">
        <w:rPr>
          <w:rFonts w:cs="Times New Roman"/>
          <w:szCs w:val="24"/>
        </w:rPr>
        <w:t xml:space="preserve"> e delle </w:t>
      </w:r>
      <w:r w:rsidR="008223F1">
        <w:rPr>
          <w:rFonts w:cs="Times New Roman"/>
          <w:szCs w:val="24"/>
        </w:rPr>
        <w:t>finanze</w:t>
      </w:r>
      <w:r w:rsidR="008223F1" w:rsidRPr="00757BA7">
        <w:rPr>
          <w:rFonts w:cs="Times New Roman"/>
          <w:szCs w:val="24"/>
        </w:rPr>
        <w:t>, delle facoltà previste nella polizza di assicurazione, nonché la gestione delle fasi successive al pagamento dell’indennizzo, incluse le modalità di esercizio dei diritti nei confronti del debitore e l’attività di recupero dei crediti;</w:t>
      </w:r>
    </w:p>
    <w:p w:rsidR="008223F1" w:rsidRPr="00757BA7" w:rsidRDefault="005466AF" w:rsidP="005466AF">
      <w:pPr>
        <w:spacing w:after="120"/>
        <w:rPr>
          <w:rFonts w:cs="Times New Roman"/>
          <w:szCs w:val="24"/>
        </w:rPr>
      </w:pPr>
      <w:r>
        <w:rPr>
          <w:rFonts w:cs="Times New Roman"/>
          <w:szCs w:val="24"/>
        </w:rPr>
        <w:t>d)</w:t>
      </w:r>
      <w:r>
        <w:rPr>
          <w:rFonts w:cs="Times New Roman"/>
          <w:szCs w:val="24"/>
        </w:rPr>
        <w:tab/>
      </w:r>
      <w:r w:rsidR="008223F1" w:rsidRPr="00757BA7">
        <w:rPr>
          <w:rFonts w:cs="Times New Roman"/>
          <w:szCs w:val="24"/>
        </w:rPr>
        <w:t>le modalità con le quali è richiesto al Ministero dell’</w:t>
      </w:r>
      <w:r w:rsidR="008223F1">
        <w:rPr>
          <w:rFonts w:cs="Times New Roman"/>
          <w:szCs w:val="24"/>
        </w:rPr>
        <w:t>economia</w:t>
      </w:r>
      <w:r w:rsidR="008223F1" w:rsidRPr="00757BA7">
        <w:rPr>
          <w:rFonts w:cs="Times New Roman"/>
          <w:szCs w:val="24"/>
        </w:rPr>
        <w:t xml:space="preserve"> e delle </w:t>
      </w:r>
      <w:r w:rsidR="008223F1">
        <w:rPr>
          <w:rFonts w:cs="Times New Roman"/>
          <w:szCs w:val="24"/>
        </w:rPr>
        <w:t>finanze</w:t>
      </w:r>
      <w:r w:rsidR="008223F1" w:rsidRPr="00757BA7">
        <w:rPr>
          <w:rFonts w:cs="Times New Roman"/>
          <w:szCs w:val="24"/>
        </w:rPr>
        <w:t xml:space="preserve"> il pagamento dell’indennizzo per la quota di pertinenza e le modalità di escussione della garanzia dello Stato relativa agli impegni assunti da SACE S.p.A., nonché la remunerazione della garanzia stessa;</w:t>
      </w:r>
    </w:p>
    <w:p w:rsidR="008223F1" w:rsidRPr="00757BA7" w:rsidRDefault="008223F1" w:rsidP="005466AF">
      <w:pPr>
        <w:spacing w:after="120"/>
        <w:rPr>
          <w:rFonts w:cs="Times New Roman"/>
          <w:szCs w:val="24"/>
        </w:rPr>
      </w:pPr>
      <w:r w:rsidRPr="00757BA7">
        <w:rPr>
          <w:rFonts w:cs="Times New Roman"/>
          <w:szCs w:val="24"/>
        </w:rPr>
        <w:t>e</w:t>
      </w:r>
      <w:r w:rsidR="005466AF">
        <w:rPr>
          <w:rFonts w:cs="Times New Roman"/>
          <w:szCs w:val="24"/>
        </w:rPr>
        <w:t>)</w:t>
      </w:r>
      <w:r w:rsidR="005466AF">
        <w:rPr>
          <w:rFonts w:cs="Times New Roman"/>
          <w:szCs w:val="24"/>
        </w:rPr>
        <w:tab/>
      </w:r>
      <w:r w:rsidRPr="00757BA7">
        <w:rPr>
          <w:rFonts w:cs="Times New Roman"/>
          <w:szCs w:val="24"/>
        </w:rPr>
        <w:t>le modalità di informazione</w:t>
      </w:r>
      <w:r w:rsidRPr="00757BA7">
        <w:rPr>
          <w:rFonts w:cs="Times New Roman"/>
          <w:b/>
          <w:szCs w:val="24"/>
        </w:rPr>
        <w:t xml:space="preserve"> </w:t>
      </w:r>
      <w:r w:rsidRPr="00757BA7">
        <w:rPr>
          <w:rFonts w:cs="Times New Roman"/>
          <w:szCs w:val="24"/>
        </w:rPr>
        <w:t>preventiva al Ministero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xml:space="preserve"> in ordine alle deliberazioni dell’organo competente di SACE S.p.A. relative agli impegni da assumere o assunti, alle altre decisioni aziendali rilevanti ai fini dell’assunzione di impegni, incluso il sistema aziendale di deleghe decisionali, alla gestione degli impegni in essere e delle richieste di indennizzo;</w:t>
      </w:r>
    </w:p>
    <w:p w:rsidR="008223F1" w:rsidRPr="00757BA7" w:rsidRDefault="008223F1" w:rsidP="005466AF">
      <w:pPr>
        <w:spacing w:after="120"/>
        <w:rPr>
          <w:rFonts w:cs="Times New Roman"/>
          <w:szCs w:val="24"/>
        </w:rPr>
      </w:pPr>
      <w:r w:rsidRPr="00757BA7">
        <w:rPr>
          <w:rFonts w:cs="Times New Roman"/>
          <w:szCs w:val="24"/>
        </w:rPr>
        <w:t>f</w:t>
      </w:r>
      <w:r w:rsidR="005466AF">
        <w:rPr>
          <w:rFonts w:cs="Times New Roman"/>
          <w:szCs w:val="24"/>
        </w:rPr>
        <w:t>)</w:t>
      </w:r>
      <w:r w:rsidR="005466AF">
        <w:rPr>
          <w:rFonts w:cs="Times New Roman"/>
          <w:szCs w:val="24"/>
        </w:rPr>
        <w:tab/>
      </w:r>
      <w:r w:rsidRPr="00757BA7">
        <w:rPr>
          <w:rFonts w:cs="Times New Roman"/>
          <w:szCs w:val="24"/>
        </w:rPr>
        <w:t xml:space="preserve">la trasmissione </w:t>
      </w:r>
      <w:r w:rsidR="005466AF">
        <w:rPr>
          <w:rFonts w:cs="Times New Roman"/>
          <w:szCs w:val="24"/>
        </w:rPr>
        <w:t xml:space="preserve">periodica e a richiesta </w:t>
      </w:r>
      <w:r w:rsidRPr="00757BA7">
        <w:rPr>
          <w:rFonts w:cs="Times New Roman"/>
          <w:szCs w:val="24"/>
        </w:rPr>
        <w:t xml:space="preserve">di informazioni da parte di SACE S.p.A. al </w:t>
      </w:r>
      <w:r w:rsidR="00D946D3">
        <w:rPr>
          <w:rFonts w:cs="Times New Roman"/>
          <w:szCs w:val="24"/>
        </w:rPr>
        <w:t>Comitato di cui al comma 9-sexies</w:t>
      </w:r>
      <w:r w:rsidRPr="00757BA7">
        <w:rPr>
          <w:rFonts w:cs="Times New Roman"/>
          <w:szCs w:val="24"/>
        </w:rPr>
        <w:t xml:space="preserve"> riguardo l’andamento delle operazioni a cui si riferiscono gli impegni assunti dallo Stato ai sensi del comma 9-bis;</w:t>
      </w:r>
    </w:p>
    <w:p w:rsidR="008223F1" w:rsidRPr="00757BA7" w:rsidRDefault="008223F1" w:rsidP="005466AF">
      <w:pPr>
        <w:spacing w:after="120"/>
        <w:rPr>
          <w:rFonts w:cs="Times New Roman"/>
          <w:szCs w:val="24"/>
        </w:rPr>
      </w:pPr>
      <w:r w:rsidRPr="00757BA7">
        <w:rPr>
          <w:rFonts w:cs="Times New Roman"/>
          <w:szCs w:val="24"/>
        </w:rPr>
        <w:t>g</w:t>
      </w:r>
      <w:r w:rsidR="005466AF">
        <w:rPr>
          <w:rFonts w:cs="Times New Roman"/>
          <w:szCs w:val="24"/>
        </w:rPr>
        <w:t>)</w:t>
      </w:r>
      <w:r w:rsidR="005466AF">
        <w:rPr>
          <w:rFonts w:cs="Times New Roman"/>
          <w:szCs w:val="24"/>
        </w:rPr>
        <w:tab/>
      </w:r>
      <w:r w:rsidRPr="00757BA7">
        <w:rPr>
          <w:rFonts w:cs="Times New Roman"/>
          <w:szCs w:val="24"/>
        </w:rPr>
        <w:t>ogni altra modalità operativa rilevante ai fini dell’assunzione e gestione degli impegni di cui al comma 9-bis;</w:t>
      </w:r>
    </w:p>
    <w:p w:rsidR="008223F1" w:rsidRPr="00757BA7" w:rsidRDefault="008223F1" w:rsidP="005466AF">
      <w:pPr>
        <w:spacing w:after="120"/>
        <w:rPr>
          <w:rFonts w:cs="Times New Roman"/>
          <w:b/>
          <w:szCs w:val="24"/>
        </w:rPr>
      </w:pPr>
      <w:r w:rsidRPr="00757BA7">
        <w:rPr>
          <w:rFonts w:cs="Times New Roman"/>
          <w:szCs w:val="24"/>
        </w:rPr>
        <w:t>h</w:t>
      </w:r>
      <w:r w:rsidR="005466AF">
        <w:rPr>
          <w:rFonts w:cs="Times New Roman"/>
          <w:szCs w:val="24"/>
        </w:rPr>
        <w:t>)</w:t>
      </w:r>
      <w:r w:rsidR="005466AF">
        <w:rPr>
          <w:rFonts w:cs="Times New Roman"/>
          <w:szCs w:val="24"/>
        </w:rPr>
        <w:tab/>
      </w:r>
      <w:r w:rsidRPr="00757BA7">
        <w:rPr>
          <w:rFonts w:cs="Times New Roman"/>
          <w:szCs w:val="24"/>
        </w:rPr>
        <w:t xml:space="preserve">le modalità di gestione da parte di SACE S.p.A. </w:t>
      </w:r>
      <w:r>
        <w:rPr>
          <w:rFonts w:cs="Times New Roman"/>
          <w:szCs w:val="24"/>
        </w:rPr>
        <w:t xml:space="preserve">del </w:t>
      </w:r>
      <w:r w:rsidR="005466AF">
        <w:rPr>
          <w:rFonts w:cs="Times New Roman"/>
          <w:szCs w:val="24"/>
        </w:rPr>
        <w:t>f</w:t>
      </w:r>
      <w:r>
        <w:rPr>
          <w:rFonts w:cs="Times New Roman"/>
          <w:szCs w:val="24"/>
        </w:rPr>
        <w:t>ondo di cui al comma 9-</w:t>
      </w:r>
      <w:r w:rsidRPr="00757BA7">
        <w:rPr>
          <w:rFonts w:cs="Times New Roman"/>
          <w:szCs w:val="24"/>
        </w:rPr>
        <w:t>quater e degli attivi in cui sono investite le</w:t>
      </w:r>
      <w:r w:rsidRPr="00757BA7">
        <w:rPr>
          <w:rFonts w:cs="Times New Roman"/>
          <w:b/>
          <w:szCs w:val="24"/>
        </w:rPr>
        <w:t xml:space="preserve"> </w:t>
      </w:r>
      <w:r w:rsidRPr="00757BA7">
        <w:rPr>
          <w:rFonts w:cs="Times New Roman"/>
          <w:szCs w:val="24"/>
        </w:rPr>
        <w:t>riserve tecniche, sulla base delle indicazioni del Ministero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xml:space="preserve">; </w:t>
      </w:r>
    </w:p>
    <w:p w:rsidR="008223F1" w:rsidRPr="00757BA7" w:rsidRDefault="008223F1" w:rsidP="00D550E1">
      <w:pPr>
        <w:spacing w:after="120"/>
        <w:rPr>
          <w:rFonts w:cs="Times New Roman"/>
          <w:strike/>
          <w:szCs w:val="24"/>
        </w:rPr>
      </w:pPr>
      <w:r w:rsidRPr="00757BA7">
        <w:rPr>
          <w:rFonts w:cs="Times New Roman"/>
          <w:szCs w:val="24"/>
        </w:rPr>
        <w:t>i)</w:t>
      </w:r>
      <w:r w:rsidR="00D550E1">
        <w:rPr>
          <w:rFonts w:cs="Times New Roman"/>
          <w:szCs w:val="24"/>
        </w:rPr>
        <w:tab/>
      </w:r>
      <w:r w:rsidRPr="00757BA7">
        <w:rPr>
          <w:rFonts w:cs="Times New Roman"/>
          <w:szCs w:val="24"/>
        </w:rPr>
        <w:t>le modalità di trasferimento</w:t>
      </w:r>
      <w:r w:rsidR="00EE040F" w:rsidRPr="00EE040F">
        <w:rPr>
          <w:rFonts w:cs="Times New Roman"/>
          <w:szCs w:val="24"/>
        </w:rPr>
        <w:t xml:space="preserve"> </w:t>
      </w:r>
      <w:r w:rsidR="00EE040F" w:rsidRPr="00757BA7">
        <w:rPr>
          <w:rFonts w:cs="Times New Roman"/>
          <w:szCs w:val="24"/>
        </w:rPr>
        <w:t>al Ministero dell’</w:t>
      </w:r>
      <w:r w:rsidR="00EE040F">
        <w:rPr>
          <w:rFonts w:cs="Times New Roman"/>
          <w:szCs w:val="24"/>
        </w:rPr>
        <w:t>economia</w:t>
      </w:r>
      <w:r w:rsidR="00EE040F" w:rsidRPr="00757BA7">
        <w:rPr>
          <w:rFonts w:cs="Times New Roman"/>
          <w:szCs w:val="24"/>
        </w:rPr>
        <w:t xml:space="preserve"> e delle </w:t>
      </w:r>
      <w:r w:rsidR="00EE040F">
        <w:rPr>
          <w:rFonts w:cs="Times New Roman"/>
          <w:szCs w:val="24"/>
        </w:rPr>
        <w:t>finanze</w:t>
      </w:r>
      <w:r w:rsidRPr="00757BA7">
        <w:rPr>
          <w:rFonts w:cs="Times New Roman"/>
          <w:szCs w:val="24"/>
        </w:rPr>
        <w:t xml:space="preserve"> dei premi riscossi da SACE S.p.A. per conto </w:t>
      </w:r>
      <w:r w:rsidR="00EE040F">
        <w:rPr>
          <w:rFonts w:cs="Times New Roman"/>
          <w:szCs w:val="24"/>
        </w:rPr>
        <w:t>di questo ai sensi del comma 9-quater</w:t>
      </w:r>
      <w:r w:rsidRPr="00757BA7">
        <w:rPr>
          <w:rFonts w:cs="Times New Roman"/>
          <w:szCs w:val="24"/>
        </w:rPr>
        <w:t>, al netto delle commissioni trattenute da SACE S.p.A., e la determinazione delle suddette commissioni;</w:t>
      </w:r>
      <w:r w:rsidRPr="00757BA7">
        <w:rPr>
          <w:rFonts w:cs="Times New Roman"/>
          <w:strike/>
          <w:szCs w:val="24"/>
        </w:rPr>
        <w:t xml:space="preserve"> </w:t>
      </w:r>
    </w:p>
    <w:p w:rsidR="008223F1" w:rsidRPr="00757BA7" w:rsidRDefault="008223F1" w:rsidP="008223F1">
      <w:pPr>
        <w:spacing w:after="120"/>
        <w:ind w:firstLine="426"/>
        <w:rPr>
          <w:rFonts w:cs="Times New Roman"/>
          <w:i/>
          <w:szCs w:val="24"/>
        </w:rPr>
      </w:pPr>
      <w:r w:rsidRPr="00757BA7">
        <w:rPr>
          <w:rFonts w:cs="Times New Roman"/>
          <w:szCs w:val="24"/>
        </w:rPr>
        <w:t>l) l’eventuale definizione di un livello di patrimonializzazione minimo.</w:t>
      </w:r>
    </w:p>
    <w:p w:rsidR="008223F1" w:rsidRPr="00757BA7" w:rsidRDefault="008223F1" w:rsidP="008223F1">
      <w:pPr>
        <w:spacing w:after="120"/>
        <w:rPr>
          <w:rFonts w:cs="Times New Roman"/>
          <w:szCs w:val="24"/>
        </w:rPr>
      </w:pPr>
      <w:r w:rsidRPr="00757BA7">
        <w:rPr>
          <w:rFonts w:cs="Times New Roman"/>
          <w:szCs w:val="24"/>
        </w:rPr>
        <w:lastRenderedPageBreak/>
        <w:t>9-sexies. È istituito presso il Ministero dell’</w:t>
      </w:r>
      <w:r>
        <w:rPr>
          <w:rFonts w:cs="Times New Roman"/>
          <w:szCs w:val="24"/>
        </w:rPr>
        <w:t>economia</w:t>
      </w:r>
      <w:r w:rsidRPr="00757BA7">
        <w:rPr>
          <w:rFonts w:cs="Times New Roman"/>
          <w:szCs w:val="24"/>
        </w:rPr>
        <w:t xml:space="preserve"> e delle </w:t>
      </w:r>
      <w:r>
        <w:rPr>
          <w:rFonts w:cs="Times New Roman"/>
          <w:szCs w:val="24"/>
        </w:rPr>
        <w:t>finanze il Comitato per il s</w:t>
      </w:r>
      <w:r w:rsidRPr="00757BA7">
        <w:rPr>
          <w:rFonts w:cs="Times New Roman"/>
          <w:szCs w:val="24"/>
        </w:rPr>
        <w:t xml:space="preserve">ostegno </w:t>
      </w:r>
      <w:r>
        <w:rPr>
          <w:rFonts w:cs="Times New Roman"/>
          <w:szCs w:val="24"/>
        </w:rPr>
        <w:t>p</w:t>
      </w:r>
      <w:r w:rsidRPr="00757BA7">
        <w:rPr>
          <w:rFonts w:cs="Times New Roman"/>
          <w:szCs w:val="24"/>
        </w:rPr>
        <w:t>ubblico all’</w:t>
      </w:r>
      <w:r>
        <w:rPr>
          <w:rFonts w:cs="Times New Roman"/>
          <w:szCs w:val="24"/>
        </w:rPr>
        <w:t>e</w:t>
      </w:r>
      <w:r w:rsidRPr="00757BA7">
        <w:rPr>
          <w:rFonts w:cs="Times New Roman"/>
          <w:szCs w:val="24"/>
        </w:rPr>
        <w:t xml:space="preserve">sportazione. Il Comitato è composto dal Direttore Generale del Tesoro o da un suo delegato, che lo presiede, e da quattro membri. I componenti del Comitato, ed i rispettivi supplenti che, in caso di impedimento, li sostituiscono, sono nominati con </w:t>
      </w:r>
      <w:r>
        <w:rPr>
          <w:rFonts w:cs="Times New Roman"/>
          <w:szCs w:val="24"/>
        </w:rPr>
        <w:t>decreto del Minist</w:t>
      </w:r>
      <w:r w:rsidRPr="00757BA7">
        <w:rPr>
          <w:rFonts w:cs="Times New Roman"/>
          <w:szCs w:val="24"/>
        </w:rPr>
        <w:t>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sulla base delle designazioni effettuate, rispettivamente, dal Ministero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xml:space="preserve">, dal Ministero degli affari esteri e della cooperazione internazionale, dal Ministero dello </w:t>
      </w:r>
      <w:r>
        <w:rPr>
          <w:rFonts w:cs="Times New Roman"/>
          <w:szCs w:val="24"/>
        </w:rPr>
        <w:t>sviluppo</w:t>
      </w:r>
      <w:r w:rsidRPr="00757BA7">
        <w:rPr>
          <w:rFonts w:cs="Times New Roman"/>
          <w:szCs w:val="24"/>
        </w:rPr>
        <w:t xml:space="preserve"> </w:t>
      </w:r>
      <w:r>
        <w:rPr>
          <w:rFonts w:cs="Times New Roman"/>
          <w:szCs w:val="24"/>
        </w:rPr>
        <w:t>economico</w:t>
      </w:r>
      <w:r w:rsidRPr="00757BA7">
        <w:rPr>
          <w:rFonts w:cs="Times New Roman"/>
          <w:szCs w:val="24"/>
        </w:rPr>
        <w:t xml:space="preserve"> e dal Ministero della difesa. Ciascun componente partecipa alla riunione con diritto di voto. Il presidente del Comitato può invitare a partecipare alle riunioni, senza diritto di voto, rappresentanti di altri enti o istituzioni, pubblici e privati secondo le materie all’ordine del giorno. Per lo svolgimento delle proprie attività, il Comitato può avvalersi dell’ausilio delle amministrazioni componenti il Comitato e può richiedere pareri all’IVASS su specifiche questioni ed operazioni. Il funzionamento del Comitato è disciplinato con </w:t>
      </w:r>
      <w:r>
        <w:rPr>
          <w:rFonts w:cs="Times New Roman"/>
          <w:szCs w:val="24"/>
        </w:rPr>
        <w:t>decreto</w:t>
      </w:r>
      <w:r w:rsidRPr="00757BA7">
        <w:rPr>
          <w:rFonts w:cs="Times New Roman"/>
          <w:szCs w:val="24"/>
        </w:rPr>
        <w:t xml:space="preserve"> del Ministro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Il Ministero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xml:space="preserve"> - Dipartimento del tesoro, Direzione VI - assicura le funzioni di segreteria del Comitato. La partecipazione al Comitato non dà diritto ad emolumenti. Dall’istituzione del Comitato non devono derivare nuovi o maggiori oneri per la finanza pubblica e per il suo funzionamento ci si avvale delle risorse umane, finanziarie e strumentali iscritte in bilancio a legislazione vigente.</w:t>
      </w:r>
    </w:p>
    <w:p w:rsidR="008223F1" w:rsidRPr="00757BA7" w:rsidRDefault="008223F1" w:rsidP="008223F1">
      <w:pPr>
        <w:spacing w:after="120"/>
        <w:rPr>
          <w:rFonts w:cs="Times New Roman"/>
          <w:szCs w:val="24"/>
        </w:rPr>
      </w:pPr>
      <w:r w:rsidRPr="00757BA7">
        <w:rPr>
          <w:rFonts w:cs="Times New Roman"/>
          <w:szCs w:val="24"/>
        </w:rPr>
        <w:t xml:space="preserve">9-septies. Il Comitato di cui al comma 9-sexies, su proposta di SACE S.p.A., delibera  il piano </w:t>
      </w:r>
      <w:r w:rsidR="00EE040F">
        <w:rPr>
          <w:rFonts w:cs="Times New Roman"/>
          <w:szCs w:val="24"/>
        </w:rPr>
        <w:t xml:space="preserve">annuale </w:t>
      </w:r>
      <w:r w:rsidRPr="00757BA7">
        <w:rPr>
          <w:rFonts w:cs="Times New Roman"/>
          <w:szCs w:val="24"/>
        </w:rPr>
        <w:t>di attività di cui al comma 9-bis, che definisce l’ammontare progettato di operazioni da assicurare, suddivise per aree geografiche e macro-settori, evidenziando le operazioni da sottoporre all’autorizzazione preventiva del Ministro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xml:space="preserve"> ai sensi del comma 9-ter, nonché il sistema dei limiti di rischio (</w:t>
      </w:r>
      <w:r w:rsidRPr="00757BA7">
        <w:rPr>
          <w:rFonts w:cs="Times New Roman"/>
          <w:i/>
          <w:szCs w:val="24"/>
        </w:rPr>
        <w:t>Risk Appetite Framework</w:t>
      </w:r>
      <w:r w:rsidRPr="00757BA7">
        <w:rPr>
          <w:rFonts w:cs="Times New Roman"/>
          <w:szCs w:val="24"/>
        </w:rPr>
        <w:t xml:space="preserve"> - “RAF”), che definisce, in linea con le migliori pratiche del settore bancario e assicurativo, la propensione al rischio, le soglie di tolleranza, con particolare riguardo alle operazioni che possono determinare elevati rischi di concentrazione verso singole controparti, gruppi di controparti connesse o paesi di destinazione, le politiche di governo dei rischi nonché i processi di riferimento necessar</w:t>
      </w:r>
      <w:r>
        <w:rPr>
          <w:rFonts w:cs="Times New Roman"/>
          <w:szCs w:val="24"/>
        </w:rPr>
        <w:t>i per definirli e attuarli. Il p</w:t>
      </w:r>
      <w:r w:rsidRPr="00757BA7">
        <w:rPr>
          <w:rFonts w:cs="Times New Roman"/>
          <w:szCs w:val="24"/>
        </w:rPr>
        <w:t xml:space="preserve">iano annuale di attività e il sistema degli </w:t>
      </w:r>
      <w:r>
        <w:rPr>
          <w:rFonts w:cs="Times New Roman"/>
          <w:szCs w:val="24"/>
        </w:rPr>
        <w:t>limiti</w:t>
      </w:r>
      <w:r w:rsidRPr="00757BA7">
        <w:rPr>
          <w:rFonts w:cs="Times New Roman"/>
          <w:szCs w:val="24"/>
        </w:rPr>
        <w:t xml:space="preserve"> di rischio sono approvati, su proposta del Ministro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xml:space="preserve"> di concerto con il Ministro degli affari esteri e della cooperazione internazionale</w:t>
      </w:r>
      <w:r>
        <w:rPr>
          <w:rFonts w:cs="Times New Roman"/>
          <w:szCs w:val="24"/>
        </w:rPr>
        <w:t>,</w:t>
      </w:r>
      <w:r w:rsidRPr="00757BA7">
        <w:rPr>
          <w:rFonts w:cs="Times New Roman"/>
          <w:szCs w:val="24"/>
        </w:rPr>
        <w:t xml:space="preserve"> con delibera del Comitato interministeriale per la programmazione economica.</w:t>
      </w:r>
    </w:p>
    <w:p w:rsidR="008223F1" w:rsidRPr="00757BA7" w:rsidRDefault="008223F1" w:rsidP="008223F1">
      <w:pPr>
        <w:spacing w:after="120"/>
        <w:rPr>
          <w:rFonts w:cs="Times New Roman"/>
          <w:szCs w:val="24"/>
        </w:rPr>
      </w:pPr>
      <w:r w:rsidRPr="00757BA7">
        <w:rPr>
          <w:rFonts w:cs="Times New Roman"/>
          <w:szCs w:val="24"/>
        </w:rPr>
        <w:t>9-octies. Il Comitato</w:t>
      </w:r>
      <w:r>
        <w:rPr>
          <w:rFonts w:cs="Times New Roman"/>
          <w:szCs w:val="24"/>
        </w:rPr>
        <w:t xml:space="preserve"> per il s</w:t>
      </w:r>
      <w:r w:rsidRPr="00757BA7">
        <w:rPr>
          <w:rFonts w:cs="Times New Roman"/>
          <w:szCs w:val="24"/>
        </w:rPr>
        <w:t xml:space="preserve">ostegno </w:t>
      </w:r>
      <w:r>
        <w:rPr>
          <w:rFonts w:cs="Times New Roman"/>
          <w:szCs w:val="24"/>
        </w:rPr>
        <w:t>p</w:t>
      </w:r>
      <w:r w:rsidRPr="00757BA7">
        <w:rPr>
          <w:rFonts w:cs="Times New Roman"/>
          <w:szCs w:val="24"/>
        </w:rPr>
        <w:t>ubblico all’</w:t>
      </w:r>
      <w:r>
        <w:rPr>
          <w:rFonts w:cs="Times New Roman"/>
          <w:szCs w:val="24"/>
        </w:rPr>
        <w:t>e</w:t>
      </w:r>
      <w:r w:rsidRPr="00757BA7">
        <w:rPr>
          <w:rFonts w:cs="Times New Roman"/>
          <w:szCs w:val="24"/>
        </w:rPr>
        <w:t xml:space="preserve">sportazione, in aggiunta alle funzioni di cui al comma 9-septies, esprime il parere di competenza per l’autorizzazione da rilasciarsi con </w:t>
      </w:r>
      <w:r>
        <w:rPr>
          <w:rFonts w:cs="Times New Roman"/>
          <w:szCs w:val="24"/>
        </w:rPr>
        <w:lastRenderedPageBreak/>
        <w:t>decreto</w:t>
      </w:r>
      <w:r w:rsidRPr="00757BA7">
        <w:rPr>
          <w:rFonts w:cs="Times New Roman"/>
          <w:szCs w:val="24"/>
        </w:rPr>
        <w:t xml:space="preserve"> del Ministro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nei casi di cui al comma 9–ter, su istanza di SACE</w:t>
      </w:r>
      <w:r>
        <w:rPr>
          <w:rFonts w:cs="Times New Roman"/>
          <w:szCs w:val="24"/>
        </w:rPr>
        <w:t xml:space="preserve"> S.p.A.</w:t>
      </w:r>
      <w:r w:rsidRPr="00757BA7">
        <w:rPr>
          <w:rFonts w:cs="Times New Roman"/>
          <w:szCs w:val="24"/>
        </w:rPr>
        <w:t xml:space="preserve">, verificata la conformità dell’operazione deliberata da SACE S.p.A. e del relativo impegno assicurativo al piano di attività, al RAF e alla convenzione, nonché il rispetto dei limiti indicati al comma 9-bis. Il </w:t>
      </w:r>
      <w:r>
        <w:rPr>
          <w:rFonts w:cs="Times New Roman"/>
          <w:szCs w:val="24"/>
        </w:rPr>
        <w:t>decreto</w:t>
      </w:r>
      <w:r w:rsidRPr="00757BA7">
        <w:rPr>
          <w:rFonts w:cs="Times New Roman"/>
          <w:szCs w:val="24"/>
        </w:rPr>
        <w:t xml:space="preserve"> del Ministro è sottoposto al controllo preventivo di legittimità e alla registrazione della Corte dei Conti. Il Comitato esamina ogni elemento rilevante ai fini del funzionamento del sistema di sostegno pubblico all’esportazione e all’internazionalizzazione, anche predisponendo relazioni e formulando proposte.</w:t>
      </w:r>
      <w:r>
        <w:rPr>
          <w:rFonts w:cs="Times New Roman"/>
          <w:szCs w:val="24"/>
        </w:rPr>
        <w:t>”.</w:t>
      </w:r>
      <w:r w:rsidRPr="00757BA7">
        <w:rPr>
          <w:rFonts w:cs="Times New Roman"/>
          <w:szCs w:val="24"/>
        </w:rPr>
        <w:t xml:space="preserve"> </w:t>
      </w:r>
    </w:p>
    <w:p w:rsidR="008223F1" w:rsidRPr="00757BA7" w:rsidRDefault="008223F1" w:rsidP="008223F1">
      <w:pPr>
        <w:spacing w:after="120"/>
        <w:rPr>
          <w:rFonts w:cs="Times New Roman"/>
          <w:szCs w:val="24"/>
        </w:rPr>
      </w:pPr>
      <w:r w:rsidRPr="00757BA7">
        <w:rPr>
          <w:rFonts w:cs="Times New Roman"/>
          <w:szCs w:val="24"/>
        </w:rPr>
        <w:t>c) dopo il comma 14, è inserito il seguente: “14 bis. Ai fini del sostegno e rilancio dell’</w:t>
      </w:r>
      <w:r>
        <w:rPr>
          <w:rFonts w:cs="Times New Roman"/>
          <w:szCs w:val="24"/>
        </w:rPr>
        <w:t>economia</w:t>
      </w:r>
      <w:r w:rsidRPr="00757BA7">
        <w:rPr>
          <w:rFonts w:cs="Times New Roman"/>
          <w:szCs w:val="24"/>
        </w:rPr>
        <w:t>, SACE S.p.A. è abilitata a rilasciare, a condizioni di mercato</w:t>
      </w:r>
      <w:r>
        <w:rPr>
          <w:rFonts w:cs="Times New Roman"/>
          <w:szCs w:val="24"/>
        </w:rPr>
        <w:t xml:space="preserve"> e</w:t>
      </w:r>
      <w:r w:rsidRPr="00757BA7">
        <w:rPr>
          <w:rFonts w:cs="Times New Roman"/>
          <w:szCs w:val="24"/>
        </w:rPr>
        <w:t xml:space="preserve"> in conformità alla normativa dell’Unione </w:t>
      </w:r>
      <w:r>
        <w:rPr>
          <w:rFonts w:cs="Times New Roman"/>
          <w:szCs w:val="24"/>
        </w:rPr>
        <w:t>Euro</w:t>
      </w:r>
      <w:r w:rsidRPr="00757BA7">
        <w:rPr>
          <w:rFonts w:cs="Times New Roman"/>
          <w:szCs w:val="24"/>
        </w:rPr>
        <w:t>pea, garanzie sotto qualsiasi forma</w:t>
      </w:r>
      <w:r w:rsidRPr="00A3461C">
        <w:rPr>
          <w:rFonts w:cs="Times New Roman"/>
          <w:szCs w:val="24"/>
        </w:rPr>
        <w:t xml:space="preserve">, ivi </w:t>
      </w:r>
      <w:r>
        <w:rPr>
          <w:rFonts w:cs="Times New Roman"/>
          <w:szCs w:val="24"/>
        </w:rPr>
        <w:t>incluse controgaranzie verso i c</w:t>
      </w:r>
      <w:r w:rsidRPr="00A3461C">
        <w:rPr>
          <w:rFonts w:cs="Times New Roman"/>
          <w:szCs w:val="24"/>
        </w:rPr>
        <w:t>onfidi,</w:t>
      </w:r>
      <w:r w:rsidRPr="00757BA7">
        <w:rPr>
          <w:rFonts w:cs="Times New Roman"/>
          <w:szCs w:val="24"/>
        </w:rPr>
        <w:t xml:space="preserve"> in favore di banche, di istituzioni finanziarie nazionali e internazionali e degli altri soggetti abilitati all’esercizio del credito in Italia, per finanziamenti sotto qualsiasi forma concessi alle imprese con sede in Italia, entro l’importo complessivo massimo di 200 miliardi. </w:t>
      </w:r>
      <w:r w:rsidRPr="00634EB0">
        <w:rPr>
          <w:rFonts w:cs="Times New Roman"/>
          <w:szCs w:val="24"/>
        </w:rPr>
        <w:t>L'attività di cui al presente comma è svolta con contabilità separata rispetto alle attività di cui al comma 9.</w:t>
      </w:r>
      <w:r w:rsidRPr="006337A8">
        <w:rPr>
          <w:rFonts w:cs="Times New Roman"/>
          <w:szCs w:val="24"/>
        </w:rPr>
        <w:t xml:space="preserve"> </w:t>
      </w:r>
      <w:r w:rsidRPr="00757BA7">
        <w:rPr>
          <w:rFonts w:cs="Times New Roman"/>
          <w:szCs w:val="24"/>
        </w:rPr>
        <w:t>È accordata di diritto per gli impegni assunti ai sensi del presente c</w:t>
      </w:r>
      <w:r>
        <w:rPr>
          <w:rFonts w:cs="Times New Roman"/>
          <w:szCs w:val="24"/>
        </w:rPr>
        <w:t xml:space="preserve">omma la </w:t>
      </w:r>
      <w:r w:rsidRPr="00757BA7">
        <w:rPr>
          <w:rFonts w:cs="Times New Roman"/>
          <w:szCs w:val="24"/>
        </w:rPr>
        <w:t>garanzia dello Stato a prima richiesta</w:t>
      </w:r>
      <w:r w:rsidRPr="00992DE2">
        <w:rPr>
          <w:rFonts w:cs="Times New Roman"/>
          <w:szCs w:val="24"/>
        </w:rPr>
        <w:t xml:space="preserve"> </w:t>
      </w:r>
      <w:r>
        <w:rPr>
          <w:rFonts w:cs="Times New Roman"/>
          <w:szCs w:val="24"/>
        </w:rPr>
        <w:t>a favore di SACE S.p.A.</w:t>
      </w:r>
      <w:r w:rsidRPr="00757BA7">
        <w:rPr>
          <w:rFonts w:cs="Times New Roman"/>
          <w:szCs w:val="24"/>
        </w:rPr>
        <w:t xml:space="preserve">, che si estende al rimborso del capitale, al pagamento degli interessi e ad ogni altro onere accessorio, al netto delle commissioni ricevute per le medesime garanzie. </w:t>
      </w:r>
      <w:r w:rsidRPr="00634EB0">
        <w:rPr>
          <w:rFonts w:cs="Times New Roman"/>
          <w:szCs w:val="24"/>
        </w:rPr>
        <w:t>Non è ammesso il ricorso diretto dei soggetti finanziatori alla garanzia dello Stato.</w:t>
      </w:r>
      <w:r>
        <w:rPr>
          <w:rFonts w:cs="Times New Roman"/>
          <w:b/>
          <w:szCs w:val="24"/>
        </w:rPr>
        <w:t xml:space="preserve"> </w:t>
      </w:r>
      <w:r w:rsidRPr="00757BA7">
        <w:rPr>
          <w:rFonts w:cs="Times New Roman"/>
          <w:szCs w:val="24"/>
        </w:rPr>
        <w:t xml:space="preserve">Con </w:t>
      </w:r>
      <w:r>
        <w:rPr>
          <w:rFonts w:cs="Times New Roman"/>
          <w:szCs w:val="24"/>
        </w:rPr>
        <w:t>decreto</w:t>
      </w:r>
      <w:r w:rsidRPr="00757BA7">
        <w:rPr>
          <w:rFonts w:cs="Times New Roman"/>
          <w:szCs w:val="24"/>
        </w:rPr>
        <w:t xml:space="preserve"> di natura non regolamentare del Ministro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xml:space="preserve"> </w:t>
      </w:r>
      <w:r w:rsidR="00D946D3">
        <w:rPr>
          <w:rFonts w:cs="Times New Roman"/>
          <w:szCs w:val="24"/>
        </w:rPr>
        <w:t>di concerto con il Ministro dello sviluppo economico</w:t>
      </w:r>
      <w:r w:rsidR="003549F3">
        <w:rPr>
          <w:rFonts w:cs="Times New Roman"/>
          <w:szCs w:val="24"/>
        </w:rPr>
        <w:t>,</w:t>
      </w:r>
      <w:r w:rsidR="00D946D3">
        <w:rPr>
          <w:rFonts w:cs="Times New Roman"/>
          <w:szCs w:val="24"/>
        </w:rPr>
        <w:t xml:space="preserve"> </w:t>
      </w:r>
      <w:r>
        <w:rPr>
          <w:rFonts w:cs="Times New Roman"/>
          <w:szCs w:val="24"/>
        </w:rPr>
        <w:t>sono definiti</w:t>
      </w:r>
      <w:r w:rsidRPr="00757BA7">
        <w:rPr>
          <w:rFonts w:cs="Times New Roman"/>
          <w:szCs w:val="24"/>
        </w:rPr>
        <w:t xml:space="preserve"> criteri, modalità e condizioni del rilascio da parte di SACE S.p.A. delle garanzie di cui al presente comma e dell’operatività della garanzia dello Stato e sono altresì individuate le attività che SACE S.p.A. svolge per conto del Ministero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w:t>
      </w:r>
      <w:r>
        <w:rPr>
          <w:rFonts w:cs="Times New Roman"/>
          <w:szCs w:val="24"/>
        </w:rPr>
        <w:t>”.</w:t>
      </w:r>
    </w:p>
    <w:p w:rsidR="008223F1" w:rsidRPr="00757BA7" w:rsidRDefault="008223F1" w:rsidP="008223F1">
      <w:pPr>
        <w:spacing w:after="120"/>
        <w:rPr>
          <w:rFonts w:cs="Times New Roman"/>
          <w:szCs w:val="24"/>
        </w:rPr>
      </w:pPr>
      <w:r w:rsidRPr="00757BA7">
        <w:rPr>
          <w:rFonts w:cs="Times New Roman"/>
          <w:szCs w:val="24"/>
        </w:rPr>
        <w:t xml:space="preserve">2. Gli impegni assunti e le operazioni deliberate dal consiglio di amministrazione di SACE S.p.A. nonché le garanzie rilasciate dallo Stato prima della data di entrata in vigore del presente </w:t>
      </w:r>
      <w:r>
        <w:rPr>
          <w:rFonts w:cs="Times New Roman"/>
          <w:szCs w:val="24"/>
        </w:rPr>
        <w:t>decreto</w:t>
      </w:r>
      <w:r w:rsidRPr="00757BA7">
        <w:rPr>
          <w:rFonts w:cs="Times New Roman"/>
          <w:szCs w:val="24"/>
        </w:rPr>
        <w:t xml:space="preserve"> legge sulla base delle norme </w:t>
      </w:r>
      <w:r w:rsidR="003C010A">
        <w:rPr>
          <w:rFonts w:cs="Times New Roman"/>
          <w:szCs w:val="24"/>
        </w:rPr>
        <w:t xml:space="preserve">previgenti rispetto a quelle modificate </w:t>
      </w:r>
      <w:r>
        <w:rPr>
          <w:rFonts w:cs="Times New Roman"/>
          <w:szCs w:val="24"/>
        </w:rPr>
        <w:t xml:space="preserve">dal comma 1, lettera b), </w:t>
      </w:r>
      <w:r w:rsidRPr="00757BA7">
        <w:rPr>
          <w:rFonts w:cs="Times New Roman"/>
          <w:szCs w:val="24"/>
        </w:rPr>
        <w:t>del presente articolo, e delle disposizioni primarie e secondarie relative o collegate, restano regolate dalle medesime norme e dalle medesime disposizioni, salvo quanto previsto ai successivi commi 4</w:t>
      </w:r>
      <w:r w:rsidR="00D946D3">
        <w:rPr>
          <w:rFonts w:cs="Times New Roman"/>
          <w:szCs w:val="24"/>
        </w:rPr>
        <w:t>,</w:t>
      </w:r>
      <w:r w:rsidRPr="00757BA7">
        <w:rPr>
          <w:rFonts w:cs="Times New Roman"/>
          <w:szCs w:val="24"/>
        </w:rPr>
        <w:t xml:space="preserve"> 5</w:t>
      </w:r>
      <w:r w:rsidR="00D946D3">
        <w:rPr>
          <w:rFonts w:cs="Times New Roman"/>
          <w:szCs w:val="24"/>
        </w:rPr>
        <w:t xml:space="preserve"> e 6</w:t>
      </w:r>
      <w:r w:rsidRPr="00757BA7">
        <w:rPr>
          <w:rFonts w:cs="Times New Roman"/>
          <w:szCs w:val="24"/>
        </w:rPr>
        <w:t xml:space="preserve"> del presente articolo</w:t>
      </w:r>
      <w:r>
        <w:rPr>
          <w:rFonts w:cs="Times New Roman"/>
          <w:szCs w:val="24"/>
        </w:rPr>
        <w:t>.</w:t>
      </w:r>
    </w:p>
    <w:p w:rsidR="008223F1" w:rsidRPr="00757BA7" w:rsidRDefault="008223F1" w:rsidP="008223F1">
      <w:pPr>
        <w:spacing w:after="120"/>
        <w:rPr>
          <w:rFonts w:cs="Times New Roman"/>
          <w:szCs w:val="24"/>
        </w:rPr>
      </w:pPr>
      <w:r w:rsidRPr="00757BA7">
        <w:rPr>
          <w:rFonts w:cs="Times New Roman"/>
          <w:szCs w:val="24"/>
        </w:rPr>
        <w:t xml:space="preserve">3. Gli impegni assunti e le operazioni deliberate dal consiglio di amministrazione di SACE S.p.A. nonché le garanzie rilasciate dallo Stato nel periodo intercorrente tra la data di entrata in vigore del presente </w:t>
      </w:r>
      <w:r>
        <w:rPr>
          <w:rFonts w:cs="Times New Roman"/>
          <w:szCs w:val="24"/>
        </w:rPr>
        <w:t>decreto</w:t>
      </w:r>
      <w:r w:rsidRPr="00757BA7">
        <w:rPr>
          <w:rFonts w:cs="Times New Roman"/>
          <w:szCs w:val="24"/>
        </w:rPr>
        <w:t xml:space="preserve"> legge e il 31 dicembre 2020, sono e </w:t>
      </w:r>
      <w:r w:rsidR="00FE4DD9">
        <w:rPr>
          <w:rFonts w:cs="Times New Roman"/>
          <w:szCs w:val="24"/>
        </w:rPr>
        <w:t>restano</w:t>
      </w:r>
      <w:r w:rsidR="00FE4DD9" w:rsidRPr="00757BA7">
        <w:rPr>
          <w:rFonts w:cs="Times New Roman"/>
          <w:szCs w:val="24"/>
        </w:rPr>
        <w:t xml:space="preserve"> </w:t>
      </w:r>
      <w:r w:rsidRPr="00757BA7">
        <w:rPr>
          <w:rFonts w:cs="Times New Roman"/>
          <w:szCs w:val="24"/>
        </w:rPr>
        <w:t xml:space="preserve">regolate dalle norme </w:t>
      </w:r>
      <w:r w:rsidR="00AA2584">
        <w:rPr>
          <w:rFonts w:cs="Times New Roman"/>
          <w:szCs w:val="24"/>
        </w:rPr>
        <w:t>previgenti rispetto a quelle modificate</w:t>
      </w:r>
      <w:r w:rsidR="00AA2584" w:rsidRPr="00757BA7" w:rsidDel="00AA2584">
        <w:rPr>
          <w:rFonts w:cs="Times New Roman"/>
          <w:szCs w:val="24"/>
        </w:rPr>
        <w:t xml:space="preserve"> </w:t>
      </w:r>
      <w:r w:rsidRPr="00757BA7">
        <w:rPr>
          <w:rFonts w:cs="Times New Roman"/>
          <w:szCs w:val="24"/>
        </w:rPr>
        <w:t>dal comma 1, lettera b)</w:t>
      </w:r>
      <w:r>
        <w:rPr>
          <w:rFonts w:cs="Times New Roman"/>
          <w:szCs w:val="24"/>
        </w:rPr>
        <w:t>,</w:t>
      </w:r>
      <w:r w:rsidRPr="00757BA7">
        <w:rPr>
          <w:rFonts w:cs="Times New Roman"/>
          <w:szCs w:val="24"/>
        </w:rPr>
        <w:t xml:space="preserve"> del presente articolo, e delle </w:t>
      </w:r>
      <w:r w:rsidRPr="00757BA7">
        <w:rPr>
          <w:rFonts w:cs="Times New Roman"/>
          <w:szCs w:val="24"/>
        </w:rPr>
        <w:lastRenderedPageBreak/>
        <w:t>disposizioni primarie e secondarie relative o collegate, salvo quanto previsto ai successivi commi 4 e 5 del presente articolo. Il Comitato</w:t>
      </w:r>
      <w:r>
        <w:rPr>
          <w:rFonts w:cs="Times New Roman"/>
          <w:szCs w:val="24"/>
        </w:rPr>
        <w:t xml:space="preserve"> di s</w:t>
      </w:r>
      <w:r w:rsidRPr="00757BA7">
        <w:rPr>
          <w:rFonts w:cs="Times New Roman"/>
          <w:szCs w:val="24"/>
        </w:rPr>
        <w:t xml:space="preserve">ostegno </w:t>
      </w:r>
      <w:r>
        <w:rPr>
          <w:rFonts w:cs="Times New Roman"/>
          <w:szCs w:val="24"/>
        </w:rPr>
        <w:t>p</w:t>
      </w:r>
      <w:r w:rsidRPr="00757BA7">
        <w:rPr>
          <w:rFonts w:cs="Times New Roman"/>
          <w:szCs w:val="24"/>
        </w:rPr>
        <w:t>ubblico all’</w:t>
      </w:r>
      <w:r>
        <w:rPr>
          <w:rFonts w:cs="Times New Roman"/>
          <w:szCs w:val="24"/>
        </w:rPr>
        <w:t>e</w:t>
      </w:r>
      <w:r w:rsidRPr="00757BA7">
        <w:rPr>
          <w:rFonts w:cs="Times New Roman"/>
          <w:szCs w:val="24"/>
        </w:rPr>
        <w:t xml:space="preserve">sportazione di cui al comma 9-sexies dell’articolo 6 del </w:t>
      </w:r>
      <w:r>
        <w:rPr>
          <w:rFonts w:cs="Times New Roman"/>
          <w:szCs w:val="24"/>
        </w:rPr>
        <w:t>decreto</w:t>
      </w:r>
      <w:r w:rsidRPr="00757BA7">
        <w:rPr>
          <w:rFonts w:cs="Times New Roman"/>
          <w:szCs w:val="24"/>
        </w:rPr>
        <w:t xml:space="preserve"> legge 30 settembre 2003, n. 269 convertito in legge con modificazioni, dall’articolo 1, comma 1, della legge 24 novembre 2003, n. 32, come modificato ai sensi del comma 1, una volta completata la procedura di nomina dei suoi componenti con </w:t>
      </w:r>
      <w:r>
        <w:rPr>
          <w:rFonts w:cs="Times New Roman"/>
          <w:szCs w:val="24"/>
        </w:rPr>
        <w:t>decreto</w:t>
      </w:r>
      <w:r w:rsidRPr="00757BA7">
        <w:rPr>
          <w:rFonts w:cs="Times New Roman"/>
          <w:szCs w:val="24"/>
        </w:rPr>
        <w:t xml:space="preserve"> del Ministro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xml:space="preserve">, sostituisce il Comitato di cui al </w:t>
      </w:r>
      <w:r>
        <w:rPr>
          <w:rFonts w:cs="Times New Roman"/>
          <w:szCs w:val="24"/>
        </w:rPr>
        <w:t>decreto</w:t>
      </w:r>
      <w:r w:rsidRPr="00757BA7">
        <w:rPr>
          <w:rFonts w:cs="Times New Roman"/>
          <w:szCs w:val="24"/>
        </w:rPr>
        <w:t xml:space="preserve"> del Ministro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xml:space="preserve"> del 13 febbraio 2015, n. 3245 e successive modificazioni e integrazioni. A decorrere dal 1 gennaio 2021 si applicano le disposizioni in base alle quali gli impegni derivanti dall’attività assicurativa e di garanzia dei rischi definiti non di mercato dalla normativa dell’Unione </w:t>
      </w:r>
      <w:r>
        <w:rPr>
          <w:rFonts w:cs="Times New Roman"/>
          <w:szCs w:val="24"/>
        </w:rPr>
        <w:t>Euro</w:t>
      </w:r>
      <w:r w:rsidRPr="00757BA7">
        <w:rPr>
          <w:rFonts w:cs="Times New Roman"/>
          <w:szCs w:val="24"/>
        </w:rPr>
        <w:t>pea sono assunti da SACE S</w:t>
      </w:r>
      <w:r>
        <w:rPr>
          <w:rFonts w:cs="Times New Roman"/>
          <w:szCs w:val="24"/>
        </w:rPr>
        <w:t>.p.A.</w:t>
      </w:r>
      <w:r w:rsidRPr="00757BA7">
        <w:rPr>
          <w:rFonts w:cs="Times New Roman"/>
          <w:szCs w:val="24"/>
        </w:rPr>
        <w:t xml:space="preserve"> e dallo Stato nella misura rispe</w:t>
      </w:r>
      <w:r>
        <w:rPr>
          <w:rFonts w:cs="Times New Roman"/>
          <w:szCs w:val="24"/>
        </w:rPr>
        <w:t xml:space="preserve">ttivamente del dieci per cento </w:t>
      </w:r>
      <w:r w:rsidRPr="00757BA7">
        <w:rPr>
          <w:rFonts w:cs="Times New Roman"/>
          <w:szCs w:val="24"/>
        </w:rPr>
        <w:t xml:space="preserve">e del novanta per cento del capitale e degli interessi di ciascun impegno, secondo quanto previsto dall’articolo 6 del </w:t>
      </w:r>
      <w:r>
        <w:rPr>
          <w:rFonts w:cs="Times New Roman"/>
          <w:szCs w:val="24"/>
        </w:rPr>
        <w:t>decreto</w:t>
      </w:r>
      <w:r w:rsidRPr="00757BA7">
        <w:rPr>
          <w:rFonts w:cs="Times New Roman"/>
          <w:szCs w:val="24"/>
        </w:rPr>
        <w:t xml:space="preserve"> legge 30 settembre 2003, n. 269 convertito in legge con modificazioni, dall’articolo 1, comma 1, della legge 24 novembre 2003, n. 326, come modificato dal comma 1 del presente articolo. Le risorse del fondo istituito ai sensi del previgente articolo 6, comma 9–bis</w:t>
      </w:r>
      <w:r w:rsidR="00FE4DD9">
        <w:rPr>
          <w:rFonts w:cs="Times New Roman"/>
          <w:szCs w:val="24"/>
        </w:rPr>
        <w:t>,</w:t>
      </w:r>
      <w:r w:rsidRPr="00757BA7">
        <w:rPr>
          <w:rFonts w:cs="Times New Roman"/>
          <w:szCs w:val="24"/>
        </w:rPr>
        <w:t xml:space="preserve"> del </w:t>
      </w:r>
      <w:r>
        <w:rPr>
          <w:rFonts w:cs="Times New Roman"/>
          <w:szCs w:val="24"/>
        </w:rPr>
        <w:t>decreto</w:t>
      </w:r>
      <w:r w:rsidRPr="00757BA7">
        <w:rPr>
          <w:rFonts w:cs="Times New Roman"/>
          <w:szCs w:val="24"/>
        </w:rPr>
        <w:t xml:space="preserve"> legge 30 settembre 2003, n. 269, convertito in legge, con modificazioni, dall’articolo 1, comma 1, della legge 24 novembre 2003, n. 326, confluiscono nel fondo istituito ai s</w:t>
      </w:r>
      <w:r>
        <w:rPr>
          <w:rFonts w:cs="Times New Roman"/>
          <w:szCs w:val="24"/>
        </w:rPr>
        <w:t>ensi dell’articolo 6, comma 9-</w:t>
      </w:r>
      <w:r w:rsidRPr="00757BA7">
        <w:rPr>
          <w:rFonts w:cs="Times New Roman"/>
          <w:szCs w:val="24"/>
        </w:rPr>
        <w:t xml:space="preserve">quater del </w:t>
      </w:r>
      <w:r>
        <w:rPr>
          <w:rFonts w:cs="Times New Roman"/>
          <w:szCs w:val="24"/>
        </w:rPr>
        <w:t>decreto</w:t>
      </w:r>
      <w:r w:rsidRPr="00757BA7">
        <w:rPr>
          <w:rFonts w:cs="Times New Roman"/>
          <w:szCs w:val="24"/>
        </w:rPr>
        <w:t xml:space="preserve"> legge anzidetto, come modificato dal comma 1 del presente articolo.</w:t>
      </w:r>
    </w:p>
    <w:p w:rsidR="008223F1" w:rsidRDefault="008223F1" w:rsidP="008223F1">
      <w:pPr>
        <w:pStyle w:val="Paragrafoelenco"/>
        <w:spacing w:after="120" w:line="360" w:lineRule="auto"/>
        <w:ind w:left="0"/>
        <w:contextualSpacing w:val="0"/>
        <w:jc w:val="both"/>
        <w:rPr>
          <w:rFonts w:ascii="Times New Roman" w:hAnsi="Times New Roman" w:cs="Times New Roman"/>
          <w:sz w:val="24"/>
          <w:szCs w:val="24"/>
        </w:rPr>
      </w:pPr>
      <w:r w:rsidRPr="00757BA7">
        <w:rPr>
          <w:rFonts w:ascii="Times New Roman" w:hAnsi="Times New Roman" w:cs="Times New Roman"/>
          <w:sz w:val="24"/>
          <w:szCs w:val="24"/>
        </w:rPr>
        <w:t xml:space="preserve">4. Per effetto della presente disposizione sono garantite dallo Stato, ai sensi e per gli effetti di cui all’articolo 6, comma 9-bis e seguenti del </w:t>
      </w:r>
      <w:r>
        <w:rPr>
          <w:rFonts w:ascii="Times New Roman" w:hAnsi="Times New Roman" w:cs="Times New Roman"/>
          <w:sz w:val="24"/>
          <w:szCs w:val="24"/>
        </w:rPr>
        <w:t>decreto</w:t>
      </w:r>
      <w:r w:rsidRPr="00757BA7">
        <w:rPr>
          <w:rFonts w:ascii="Times New Roman" w:hAnsi="Times New Roman" w:cs="Times New Roman"/>
          <w:sz w:val="24"/>
          <w:szCs w:val="24"/>
        </w:rPr>
        <w:t xml:space="preserve">-legge 30 settembre 2003, n. 269, convertito, con modificazioni, dalla legge 24 novembre 2003, n. 326, le seguenti operazioni nel settore crocieristico, specificamente indicate nella tabella allegata che costituisce parte integrante del presente </w:t>
      </w:r>
      <w:r>
        <w:rPr>
          <w:rFonts w:ascii="Times New Roman" w:hAnsi="Times New Roman" w:cs="Times New Roman"/>
          <w:sz w:val="24"/>
          <w:szCs w:val="24"/>
        </w:rPr>
        <w:t>decreto</w:t>
      </w:r>
      <w:r w:rsidRPr="00757BA7">
        <w:rPr>
          <w:rFonts w:ascii="Times New Roman" w:hAnsi="Times New Roman" w:cs="Times New Roman"/>
          <w:sz w:val="24"/>
          <w:szCs w:val="24"/>
        </w:rPr>
        <w:t>-legge:</w:t>
      </w:r>
    </w:p>
    <w:p w:rsidR="008223F1" w:rsidRDefault="008223F1" w:rsidP="008223F1">
      <w:pPr>
        <w:pStyle w:val="Paragrafoelenco"/>
        <w:spacing w:after="12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w:t>
      </w:r>
      <w:r w:rsidR="00FE4DD9">
        <w:rPr>
          <w:rFonts w:ascii="Times New Roman" w:hAnsi="Times New Roman" w:cs="Times New Roman"/>
          <w:sz w:val="24"/>
          <w:szCs w:val="24"/>
        </w:rPr>
        <w:t>)</w:t>
      </w:r>
      <w:r w:rsidR="00FE4DD9">
        <w:rPr>
          <w:rFonts w:ascii="Times New Roman" w:hAnsi="Times New Roman" w:cs="Times New Roman"/>
          <w:sz w:val="24"/>
          <w:szCs w:val="24"/>
        </w:rPr>
        <w:tab/>
      </w:r>
      <w:r w:rsidRPr="00757BA7">
        <w:rPr>
          <w:rFonts w:ascii="Times New Roman" w:hAnsi="Times New Roman" w:cs="Times New Roman"/>
          <w:sz w:val="24"/>
          <w:szCs w:val="24"/>
        </w:rPr>
        <w:t>operazioni già</w:t>
      </w:r>
      <w:r>
        <w:rPr>
          <w:rFonts w:ascii="Times New Roman" w:hAnsi="Times New Roman" w:cs="Times New Roman"/>
          <w:sz w:val="24"/>
          <w:szCs w:val="24"/>
        </w:rPr>
        <w:t xml:space="preserve"> autorizzate, ai sensi dell’articolo</w:t>
      </w:r>
      <w:r w:rsidRPr="00757BA7">
        <w:rPr>
          <w:rFonts w:ascii="Times New Roman" w:hAnsi="Times New Roman" w:cs="Times New Roman"/>
          <w:sz w:val="24"/>
          <w:szCs w:val="24"/>
        </w:rPr>
        <w:t xml:space="preserve"> 2 della Delibera CIPE n. 75/2019;</w:t>
      </w:r>
    </w:p>
    <w:p w:rsidR="008223F1" w:rsidRDefault="008223F1" w:rsidP="008223F1">
      <w:pPr>
        <w:pStyle w:val="Paragrafoelenco"/>
        <w:spacing w:after="12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b</w:t>
      </w:r>
      <w:r w:rsidRPr="00757BA7">
        <w:rPr>
          <w:rFonts w:ascii="Times New Roman" w:hAnsi="Times New Roman" w:cs="Times New Roman"/>
          <w:sz w:val="24"/>
          <w:szCs w:val="24"/>
        </w:rPr>
        <w:t>)</w:t>
      </w:r>
      <w:r w:rsidR="00FE4DD9">
        <w:rPr>
          <w:rFonts w:ascii="Times New Roman" w:hAnsi="Times New Roman" w:cs="Times New Roman"/>
          <w:sz w:val="24"/>
          <w:szCs w:val="24"/>
        </w:rPr>
        <w:tab/>
      </w:r>
      <w:r w:rsidRPr="00757BA7">
        <w:rPr>
          <w:rFonts w:ascii="Times New Roman" w:hAnsi="Times New Roman" w:cs="Times New Roman"/>
          <w:sz w:val="24"/>
          <w:szCs w:val="24"/>
        </w:rPr>
        <w:t xml:space="preserve">operazioni ammissibili </w:t>
      </w:r>
      <w:r>
        <w:rPr>
          <w:rFonts w:ascii="Times New Roman" w:hAnsi="Times New Roman" w:cs="Times New Roman"/>
          <w:sz w:val="24"/>
          <w:szCs w:val="24"/>
        </w:rPr>
        <w:t xml:space="preserve">alla garanzia </w:t>
      </w:r>
      <w:r w:rsidRPr="00757BA7">
        <w:rPr>
          <w:rFonts w:ascii="Times New Roman" w:hAnsi="Times New Roman" w:cs="Times New Roman"/>
          <w:sz w:val="24"/>
          <w:szCs w:val="24"/>
        </w:rPr>
        <w:t>ai sensi dell’articolo 1, comma 2, della Delibera CIPE n. 75/2019, le cui istanze sono state già presentate da SACE S.p.A.;</w:t>
      </w:r>
    </w:p>
    <w:p w:rsidR="008223F1" w:rsidRDefault="008223F1" w:rsidP="008223F1">
      <w:pPr>
        <w:pStyle w:val="Paragrafoelenco"/>
        <w:spacing w:after="12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c</w:t>
      </w:r>
      <w:r w:rsidR="00FE4DD9">
        <w:rPr>
          <w:rFonts w:ascii="Times New Roman" w:hAnsi="Times New Roman" w:cs="Times New Roman"/>
          <w:sz w:val="24"/>
          <w:szCs w:val="24"/>
        </w:rPr>
        <w:t>)</w:t>
      </w:r>
      <w:r w:rsidR="00FE4DD9">
        <w:rPr>
          <w:rFonts w:ascii="Times New Roman" w:hAnsi="Times New Roman" w:cs="Times New Roman"/>
          <w:sz w:val="24"/>
          <w:szCs w:val="24"/>
        </w:rPr>
        <w:tab/>
      </w:r>
      <w:r w:rsidRPr="00757BA7">
        <w:rPr>
          <w:rFonts w:ascii="Times New Roman" w:hAnsi="Times New Roman" w:cs="Times New Roman"/>
          <w:sz w:val="24"/>
          <w:szCs w:val="24"/>
        </w:rPr>
        <w:t xml:space="preserve">ulteriori operazioni deliberate da SACE S.p.A., entro la data di entrata in vigore del presente </w:t>
      </w:r>
      <w:r>
        <w:rPr>
          <w:rFonts w:ascii="Times New Roman" w:hAnsi="Times New Roman" w:cs="Times New Roman"/>
          <w:sz w:val="24"/>
          <w:szCs w:val="24"/>
        </w:rPr>
        <w:t>decreto</w:t>
      </w:r>
      <w:r w:rsidRPr="00757BA7">
        <w:rPr>
          <w:rFonts w:ascii="Times New Roman" w:hAnsi="Times New Roman" w:cs="Times New Roman"/>
          <w:sz w:val="24"/>
          <w:szCs w:val="24"/>
        </w:rPr>
        <w:t xml:space="preserve">-legge, fino all'importo massimo di 2,6 miliardi di </w:t>
      </w:r>
      <w:r>
        <w:rPr>
          <w:rFonts w:ascii="Times New Roman" w:hAnsi="Times New Roman" w:cs="Times New Roman"/>
          <w:sz w:val="24"/>
          <w:szCs w:val="24"/>
        </w:rPr>
        <w:t>euro</w:t>
      </w:r>
      <w:r w:rsidRPr="00757BA7">
        <w:rPr>
          <w:rFonts w:ascii="Times New Roman" w:hAnsi="Times New Roman" w:cs="Times New Roman"/>
          <w:sz w:val="24"/>
          <w:szCs w:val="24"/>
        </w:rPr>
        <w:t>.</w:t>
      </w:r>
    </w:p>
    <w:p w:rsidR="008223F1" w:rsidRPr="00757BA7" w:rsidRDefault="008223F1" w:rsidP="008223F1">
      <w:pPr>
        <w:pStyle w:val="Paragrafoelenco"/>
        <w:spacing w:after="120" w:line="360" w:lineRule="auto"/>
        <w:ind w:left="0"/>
        <w:contextualSpacing w:val="0"/>
        <w:jc w:val="both"/>
        <w:rPr>
          <w:rFonts w:ascii="Times New Roman" w:hAnsi="Times New Roman" w:cs="Times New Roman"/>
          <w:sz w:val="24"/>
          <w:szCs w:val="24"/>
        </w:rPr>
      </w:pPr>
      <w:r w:rsidRPr="00757BA7">
        <w:rPr>
          <w:rFonts w:ascii="Times New Roman" w:hAnsi="Times New Roman" w:cs="Times New Roman"/>
          <w:sz w:val="24"/>
          <w:szCs w:val="24"/>
        </w:rPr>
        <w:t xml:space="preserve">L’articolo 53 del </w:t>
      </w:r>
      <w:r>
        <w:rPr>
          <w:rFonts w:ascii="Times New Roman" w:hAnsi="Times New Roman" w:cs="Times New Roman"/>
          <w:sz w:val="24"/>
          <w:szCs w:val="24"/>
        </w:rPr>
        <w:t>decreto</w:t>
      </w:r>
      <w:r w:rsidRPr="00757BA7">
        <w:rPr>
          <w:rFonts w:ascii="Times New Roman" w:hAnsi="Times New Roman" w:cs="Times New Roman"/>
          <w:sz w:val="24"/>
          <w:szCs w:val="24"/>
        </w:rPr>
        <w:t>-legge 17 marzo 2020, n. 18, è abrogato.</w:t>
      </w:r>
    </w:p>
    <w:p w:rsidR="008223F1" w:rsidRPr="00757BA7" w:rsidRDefault="008223F1" w:rsidP="008223F1">
      <w:pPr>
        <w:spacing w:after="120"/>
        <w:rPr>
          <w:rFonts w:cs="Times New Roman"/>
          <w:szCs w:val="24"/>
        </w:rPr>
      </w:pPr>
      <w:r w:rsidRPr="00757BA7">
        <w:rPr>
          <w:rFonts w:cs="Times New Roman"/>
          <w:szCs w:val="24"/>
        </w:rPr>
        <w:t>5. Il Ministro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xml:space="preserve"> </w:t>
      </w:r>
      <w:r>
        <w:rPr>
          <w:rFonts w:cs="Times New Roman"/>
          <w:szCs w:val="24"/>
        </w:rPr>
        <w:t xml:space="preserve">per l’anno 2020, salvo quanto previsto dal comma 4, </w:t>
      </w:r>
      <w:r w:rsidRPr="00757BA7">
        <w:rPr>
          <w:rFonts w:cs="Times New Roman"/>
          <w:szCs w:val="24"/>
        </w:rPr>
        <w:t>è autorizzato a rilasciare la garanzia dello Stato in favore di SACE S.p.A., di cui all</w:t>
      </w:r>
      <w:r>
        <w:rPr>
          <w:rFonts w:cs="Times New Roman"/>
          <w:szCs w:val="24"/>
        </w:rPr>
        <w:t>’</w:t>
      </w:r>
      <w:r w:rsidRPr="00757BA7">
        <w:rPr>
          <w:rFonts w:cs="Times New Roman"/>
          <w:szCs w:val="24"/>
        </w:rPr>
        <w:t xml:space="preserve">articolo </w:t>
      </w:r>
      <w:r w:rsidRPr="00757BA7">
        <w:rPr>
          <w:rFonts w:cs="Times New Roman"/>
          <w:szCs w:val="24"/>
        </w:rPr>
        <w:lastRenderedPageBreak/>
        <w:t xml:space="preserve">6, comma 9-bis, del </w:t>
      </w:r>
      <w:r>
        <w:rPr>
          <w:rFonts w:cs="Times New Roman"/>
          <w:szCs w:val="24"/>
        </w:rPr>
        <w:t>decreto</w:t>
      </w:r>
      <w:r w:rsidRPr="00757BA7">
        <w:rPr>
          <w:rFonts w:cs="Times New Roman"/>
          <w:szCs w:val="24"/>
        </w:rPr>
        <w:t xml:space="preserve">-legge 30 settembre 2003, n. 269, convertito, con modificazioni, dalla legge 24 novembre 2003, n. 326, con concessione del limite speciale di </w:t>
      </w:r>
      <w:r>
        <w:rPr>
          <w:rFonts w:cs="Times New Roman"/>
          <w:szCs w:val="24"/>
        </w:rPr>
        <w:t>cui all’articolo</w:t>
      </w:r>
      <w:r w:rsidRPr="00757BA7">
        <w:rPr>
          <w:rFonts w:cs="Times New Roman"/>
          <w:szCs w:val="24"/>
        </w:rPr>
        <w:t xml:space="preserve"> 7.8 della Convenzione approvata con DPCM 20 novembre 2014, senza intervento del CIPE, entro i seguenti limiti: (i) per il settore croc</w:t>
      </w:r>
      <w:r>
        <w:rPr>
          <w:rFonts w:cs="Times New Roman"/>
          <w:szCs w:val="24"/>
        </w:rPr>
        <w:t>i</w:t>
      </w:r>
      <w:r w:rsidRPr="00757BA7">
        <w:rPr>
          <w:rFonts w:cs="Times New Roman"/>
          <w:szCs w:val="24"/>
        </w:rPr>
        <w:t>eristico, la garanzia d</w:t>
      </w:r>
      <w:r>
        <w:rPr>
          <w:rFonts w:cs="Times New Roman"/>
          <w:szCs w:val="24"/>
        </w:rPr>
        <w:t>ello Stato in favore di SACE S.p.A.</w:t>
      </w:r>
      <w:r w:rsidRPr="00757BA7">
        <w:rPr>
          <w:rFonts w:cs="Times New Roman"/>
          <w:szCs w:val="24"/>
        </w:rPr>
        <w:t xml:space="preserve"> su nuove operazioni deliberate nel corso dell’anno 2020, escluse quelle di cui alla lettera a) non può eccedere l’importo massimo in termini di flusso di tre miliardi di </w:t>
      </w:r>
      <w:r>
        <w:rPr>
          <w:rFonts w:cs="Times New Roman"/>
          <w:szCs w:val="24"/>
        </w:rPr>
        <w:t>euro</w:t>
      </w:r>
      <w:r w:rsidRPr="00757BA7">
        <w:rPr>
          <w:rFonts w:cs="Times New Roman"/>
          <w:szCs w:val="24"/>
        </w:rPr>
        <w:t xml:space="preserve">; il totale dell’esposizione cumulata conservata da SACE S.p.A. e di quella ceduta allo Stato sul settore non può eccedere la quota massima del 40% dell’intero portafoglio rischi in essere complessivamente conservato da SACE S.p.A. e ceduto allo Stato; (ii) per il settore difesa, la garanzia dello Stato in favore di SACE S.p.A. su nuove operazioni, esclusivamente con controparte sovrana, deliberate nel corso dell’anno 2020 non può eccedere l’importo massimo in termini di flusso di cinque miliardi </w:t>
      </w:r>
      <w:r>
        <w:rPr>
          <w:rFonts w:cs="Times New Roman"/>
          <w:szCs w:val="24"/>
        </w:rPr>
        <w:t>euro</w:t>
      </w:r>
      <w:r w:rsidRPr="00757BA7">
        <w:rPr>
          <w:rFonts w:cs="Times New Roman"/>
          <w:szCs w:val="24"/>
        </w:rPr>
        <w:t xml:space="preserve">; il totale dell’esposizione cumulata conservata da SACE S.p.A. e di quella ceduta allo Stato sul settore non può eccedere la quota massima del 29% dell’intero portafoglio rischi in essere complessivamente conservato da SACE S.p.A. e ceduto allo Stato. La garanzia dello Stato è rilasciata, con </w:t>
      </w:r>
      <w:r>
        <w:rPr>
          <w:rFonts w:cs="Times New Roman"/>
          <w:szCs w:val="24"/>
        </w:rPr>
        <w:t>decreto</w:t>
      </w:r>
      <w:r w:rsidRPr="00757BA7">
        <w:rPr>
          <w:rFonts w:cs="Times New Roman"/>
          <w:szCs w:val="24"/>
        </w:rPr>
        <w:t xml:space="preserve"> del Ministro dell’</w:t>
      </w:r>
      <w:r>
        <w:rPr>
          <w:rFonts w:cs="Times New Roman"/>
          <w:szCs w:val="24"/>
        </w:rPr>
        <w:t>economia</w:t>
      </w:r>
      <w:r w:rsidRPr="00757BA7">
        <w:rPr>
          <w:rFonts w:cs="Times New Roman"/>
          <w:szCs w:val="24"/>
        </w:rPr>
        <w:t xml:space="preserve"> e delle </w:t>
      </w:r>
      <w:r>
        <w:rPr>
          <w:rFonts w:cs="Times New Roman"/>
          <w:szCs w:val="24"/>
        </w:rPr>
        <w:t>finanze</w:t>
      </w:r>
      <w:r w:rsidRPr="00757BA7">
        <w:rPr>
          <w:rFonts w:cs="Times New Roman"/>
          <w:szCs w:val="24"/>
        </w:rPr>
        <w:t>, su istanza di SACE S.p.A., previo parere dell’IVASS – espresso entro 15 giorni dalla richiesta - limitatamente alla congruità del premio riconosciuto allo Stato, nel principio della condivisione dei rischi e tenuto conto dei necessari accantonamenti prudenziali alla luce del nuovo scenario di rischiosità sistemica e di una maggiore concentrazione, a valere sulla dotazione del fondo di cui all</w:t>
      </w:r>
      <w:r>
        <w:rPr>
          <w:rFonts w:cs="Times New Roman"/>
          <w:szCs w:val="24"/>
        </w:rPr>
        <w:t>’</w:t>
      </w:r>
      <w:r w:rsidRPr="00757BA7">
        <w:rPr>
          <w:rFonts w:cs="Times New Roman"/>
          <w:szCs w:val="24"/>
        </w:rPr>
        <w:t xml:space="preserve">articolo 6, comma 9-bis, del </w:t>
      </w:r>
      <w:r>
        <w:rPr>
          <w:rFonts w:cs="Times New Roman"/>
          <w:szCs w:val="24"/>
        </w:rPr>
        <w:t>decreto</w:t>
      </w:r>
      <w:r w:rsidRPr="00757BA7">
        <w:rPr>
          <w:rFonts w:cs="Times New Roman"/>
          <w:szCs w:val="24"/>
        </w:rPr>
        <w:t>-legge 30 settembre 2003, n. 269, convertito, con modificazioni, dalla legge 24 novembre 2003, n. 326.</w:t>
      </w:r>
    </w:p>
    <w:p w:rsidR="00296BAD" w:rsidRPr="00E93105" w:rsidRDefault="008223F1" w:rsidP="00CE767E">
      <w:pPr>
        <w:pStyle w:val="NormaleWeb"/>
        <w:spacing w:after="12" w:line="360" w:lineRule="auto"/>
        <w:jc w:val="both"/>
      </w:pPr>
      <w:r w:rsidRPr="00634EB0">
        <w:t>6. Alla data di entrata in vigore del presente decreto legge, il novanta per cento degli impegni in essere a tale data assunti da SACE S.p.A.</w:t>
      </w:r>
      <w:r w:rsidR="003549F3">
        <w:t xml:space="preserve"> </w:t>
      </w:r>
      <w:r w:rsidRPr="00634EB0">
        <w:t xml:space="preserve">derivanti dall’attività assicurativa e di garanzia dei rischi definiti non di mercato dalla normativa dell’Unione Europea, ad esclusione di quelli per i quali è già stata presentata la richiesta di indennizzo o per i quali è stata comunicata a SACE S.p.A. il verificarsi, o la minaccia che si verifichi, un evento generatore di sinistro o un rischio incombente di sinistro, sono riassicurati dallo Stato. Il novanta per cento degli attivi in cui sono investite le riserve tecniche è trasferito da SACE S.p.A. al Ministero dell’economia e delle finanze. La gestione di tali attivi è affidata a SACE S.p.A. che si attiene agli indirizzi del Ministero dell’economia e delle finanze. </w:t>
      </w:r>
      <w:r w:rsidR="00FE4DD9">
        <w:t>Entro sei mesi dalla data di entrata in vigore del presente decreto legge, il Ministero dell’economia e delle finanze e SACE S.p.A. possono procedere ad una verifica della coerenza tra ammontare delle riserve tec</w:t>
      </w:r>
      <w:r w:rsidR="00FF7E2C">
        <w:t xml:space="preserve">niche trasferite e </w:t>
      </w:r>
      <w:r w:rsidR="00FE4DD9">
        <w:t xml:space="preserve">la riassicurazione dello Stato, tenuto conto dell’assenza di remunerazione di questa. </w:t>
      </w:r>
      <w:r w:rsidRPr="00634EB0">
        <w:t xml:space="preserve">Il novanta per </w:t>
      </w:r>
      <w:r w:rsidRPr="00634EB0">
        <w:lastRenderedPageBreak/>
        <w:t>cento degli impegni assunti da SACE S.p.A. nel periodo intercorrente tra la data di entrata in vigore del presente decreto legge e il 31 dicembre 2020 può essere riassicurato con decreto del Ministro dell’economia e delle finanze, che definisce anche la forma di remunerazione da parte di SACE S.p.A., sentito il Comitato per il sostegno pubblico all’esportazione di cui all’articolo 6, comma 9-sexies</w:t>
      </w:r>
      <w:r w:rsidR="00D946D3">
        <w:t>,</w:t>
      </w:r>
      <w:r w:rsidRPr="00634EB0">
        <w:t xml:space="preserve"> del decreto legge 30 settembre 2003, n. 269, convertito in legge, con modificazioni, dall’articolo 1, comma 1, della legge 24 novembre 2003, n. 326, come modificato dal comma 1 del presente articolo. La remunerazione della riassicurazione di cui al periodo precedente affluisce al fondo di cui all’articolo 6, comma 9-quater del decreto-legge anzidetto.</w:t>
      </w:r>
      <w:r w:rsidR="003549F3">
        <w:t xml:space="preserve"> </w:t>
      </w:r>
      <w:r w:rsidR="00DD4473" w:rsidRPr="00E93105">
        <w:t>Ai fini del calcolo della percentuale per la quale è prevista la riassicurazione, si computa anche la quota degli impegni garantiti dallo Stato ai sensi del previgente articolo 6, comma 9-bis, del decreto-legge 30 settembre 2003, n. 269, convertito, con modificazioni, dalla legge 24 novembre 2003, n. 326, in modo che per ogni impegno, esclusa la quota riassicurata da terzi, la riassicurazione di cui al presente comma non superi la misura del novanta per cento.</w:t>
      </w:r>
    </w:p>
    <w:p w:rsidR="008223F1" w:rsidRPr="00757BA7" w:rsidRDefault="008223F1" w:rsidP="008223F1">
      <w:pPr>
        <w:spacing w:after="120"/>
        <w:rPr>
          <w:rFonts w:cs="Times New Roman"/>
          <w:szCs w:val="24"/>
        </w:rPr>
      </w:pPr>
      <w:r w:rsidRPr="00E93105">
        <w:rPr>
          <w:rFonts w:eastAsia="Times New Roman" w:cs="Times New Roman"/>
          <w:szCs w:val="24"/>
          <w:lang w:eastAsia="it-IT"/>
        </w:rPr>
        <w:t>7. All’entrata in vigore del presente articolo, SACE S.p.A. trasmette al Ministero dell’economia</w:t>
      </w:r>
      <w:r w:rsidRPr="00757BA7">
        <w:rPr>
          <w:rFonts w:cs="Times New Roman"/>
          <w:szCs w:val="24"/>
        </w:rPr>
        <w:t xml:space="preserve"> e delle </w:t>
      </w:r>
      <w:r>
        <w:rPr>
          <w:rFonts w:cs="Times New Roman"/>
          <w:szCs w:val="24"/>
        </w:rPr>
        <w:t>finanze</w:t>
      </w:r>
      <w:r w:rsidRPr="00757BA7">
        <w:rPr>
          <w:rFonts w:cs="Times New Roman"/>
          <w:szCs w:val="24"/>
        </w:rPr>
        <w:t xml:space="preserve"> una relazione dettagliata sul capitale e la dotazione patrimoniale che si renderanno disponibili in seguito alle disposizioni di cui al presente articolo, al fine della valutazione sull’impiego di tali risorse per il sostegno alle imprese. </w:t>
      </w:r>
    </w:p>
    <w:p w:rsidR="008223F1" w:rsidRPr="00757BA7" w:rsidRDefault="008223F1" w:rsidP="008223F1">
      <w:pPr>
        <w:spacing w:after="120"/>
        <w:rPr>
          <w:rFonts w:cs="Times New Roman"/>
          <w:szCs w:val="24"/>
        </w:rPr>
      </w:pPr>
      <w:r w:rsidRPr="00634EB0">
        <w:rPr>
          <w:rFonts w:cs="Times New Roman"/>
          <w:szCs w:val="24"/>
        </w:rPr>
        <w:t xml:space="preserve">8. </w:t>
      </w:r>
      <w:r>
        <w:t>Ai fini della predisposizione dello schema di convenzione, il Ministero dell’economia e delle finanze può affidare, con apposito disciplinare, a società a totale partecipazione pubblica, un incarico di studio, consulenza, valutazione e assistenza. Al relativo onere, nel limite massimo di centomila euro per l’anno 2020, si provvede a valere sulla dotazione del Fondo istituito ai sensi del previgente articolo 6, comma 9–bis del decreto legge 30 settembre 2003, n. 269, convertito in legge, con modificazioni, dall’articolo 1, comma 1, della legge 24 novembre 2003, n. 326. Per eventuali aggiornamenti della convenzione, nonché per le attività del Comitato di cui al comma 1, lettera b), a decorrere dall’anno 2021, il Ministero dell’economia e delle finanze può affidare, con apposito disciplinare, a società a totale partecipazione pubblica un incarico di studio, consulenza, valutazione e assistenza. Al relativo onere, nel limite di centomila euro annui a decorrere dal 2021, si provvede a valere sulla dotazione del Fondo istituito ai sensi dell’articolo 6, comma 9–quater del decreto legge 30 settembre 2003, n. 269, convertito in legge, con modificazioni, dall’articolo 1, comma 1, della legge 24 novembre 2003, n. 326</w:t>
      </w:r>
      <w:r w:rsidR="00250AD9">
        <w:t>.</w:t>
      </w:r>
    </w:p>
    <w:p w:rsidR="005A44F6" w:rsidRDefault="005A44F6">
      <w:pPr>
        <w:rPr>
          <w:rFonts w:cs="Times New Roman"/>
          <w:szCs w:val="24"/>
        </w:rPr>
      </w:pPr>
    </w:p>
    <w:p w:rsidR="008223F1" w:rsidRDefault="008223F1">
      <w:pPr>
        <w:rPr>
          <w:rFonts w:cs="Times New Roman"/>
          <w:szCs w:val="24"/>
        </w:rPr>
      </w:pPr>
    </w:p>
    <w:p w:rsidR="00745826" w:rsidRPr="00757BA7" w:rsidRDefault="00745826" w:rsidP="00745826">
      <w:pPr>
        <w:spacing w:after="120"/>
        <w:jc w:val="center"/>
        <w:rPr>
          <w:rFonts w:cs="Times New Roman"/>
          <w:szCs w:val="24"/>
        </w:rPr>
      </w:pPr>
      <w:r w:rsidRPr="00757BA7">
        <w:rPr>
          <w:rFonts w:cs="Times New Roman"/>
          <w:szCs w:val="24"/>
        </w:rPr>
        <w:t>Articolo</w:t>
      </w:r>
      <w:r>
        <w:rPr>
          <w:rFonts w:cs="Times New Roman"/>
          <w:szCs w:val="24"/>
        </w:rPr>
        <w:t xml:space="preserve"> 3</w:t>
      </w:r>
    </w:p>
    <w:p w:rsidR="00745826" w:rsidRPr="00757BA7" w:rsidRDefault="00745826" w:rsidP="00745826">
      <w:pPr>
        <w:spacing w:after="120"/>
        <w:jc w:val="center"/>
        <w:rPr>
          <w:rFonts w:cs="Times New Roman"/>
          <w:szCs w:val="24"/>
        </w:rPr>
      </w:pPr>
      <w:r w:rsidRPr="00757BA7">
        <w:rPr>
          <w:rFonts w:cs="Times New Roman"/>
          <w:szCs w:val="24"/>
        </w:rPr>
        <w:lastRenderedPageBreak/>
        <w:t>(SACE S.p.A.)</w:t>
      </w:r>
    </w:p>
    <w:p w:rsidR="00CF503F" w:rsidRDefault="00E93105" w:rsidP="00CF503F">
      <w:pPr>
        <w:rPr>
          <w:rFonts w:ascii="Times" w:hAnsi="Times"/>
        </w:rPr>
      </w:pPr>
      <w:r>
        <w:rPr>
          <w:rFonts w:ascii="Times" w:hAnsi="Times"/>
        </w:rPr>
        <w:t>1.</w:t>
      </w:r>
      <w:r w:rsidR="00CF503F">
        <w:rPr>
          <w:rFonts w:ascii="Times" w:hAnsi="Times"/>
        </w:rPr>
        <w:t xml:space="preserve"> SACE S.p.A. concorda con CDP S.p.A. le strategie industriali e commerciali al fine di massimizzare le sinergie di gruppo e aumentare l’efficacia del sistema di sostegno all’esportazione e all’internazionalizzazione delle impr</w:t>
      </w:r>
      <w:r>
        <w:rPr>
          <w:rFonts w:ascii="Times" w:hAnsi="Times"/>
        </w:rPr>
        <w:t>ese e di rilancio dell’economia.</w:t>
      </w:r>
    </w:p>
    <w:p w:rsidR="00745826" w:rsidRDefault="00CF503F" w:rsidP="00745826">
      <w:pPr>
        <w:rPr>
          <w:rFonts w:ascii="Times" w:hAnsi="Times"/>
        </w:rPr>
      </w:pPr>
      <w:r>
        <w:rPr>
          <w:rFonts w:ascii="Times" w:hAnsi="Times"/>
        </w:rPr>
        <w:t>2</w:t>
      </w:r>
      <w:r w:rsidR="00E93105">
        <w:rPr>
          <w:rFonts w:ascii="Times" w:hAnsi="Times"/>
        </w:rPr>
        <w:t>.</w:t>
      </w:r>
      <w:r w:rsidR="00745826">
        <w:rPr>
          <w:rFonts w:ascii="Times" w:hAnsi="Times"/>
        </w:rPr>
        <w:t xml:space="preserve"> </w:t>
      </w:r>
      <w:r w:rsidR="00745826" w:rsidRPr="00CE0E0B">
        <w:rPr>
          <w:rFonts w:ascii="Times" w:hAnsi="Times"/>
        </w:rPr>
        <w:t xml:space="preserve">In considerazione del ruolo strategico di SACE S.p.A. </w:t>
      </w:r>
      <w:r w:rsidR="00745826">
        <w:rPr>
          <w:rFonts w:ascii="Times" w:hAnsi="Times"/>
        </w:rPr>
        <w:t>per l’attuazione delle misure di sostegno all’esportazione e all’internazionalizzazione delle imprese e di rilancio degli investimenti:</w:t>
      </w:r>
    </w:p>
    <w:p w:rsidR="00745826" w:rsidRDefault="00745826" w:rsidP="00745826">
      <w:pPr>
        <w:rPr>
          <w:rFonts w:ascii="Times" w:hAnsi="Times"/>
        </w:rPr>
      </w:pPr>
      <w:r>
        <w:rPr>
          <w:rFonts w:ascii="Times" w:hAnsi="Times"/>
        </w:rPr>
        <w:t>a) CDP S.p.A. concorda preventivamente con il Ministero dell’economia e delle finanzel’esercizio dei diritti di voto derivanti dalla partecipazione in SACE S.p.A.;</w:t>
      </w:r>
    </w:p>
    <w:p w:rsidR="00745826" w:rsidRDefault="00745826" w:rsidP="00745826">
      <w:pPr>
        <w:rPr>
          <w:rFonts w:ascii="Times" w:hAnsi="Times"/>
        </w:rPr>
      </w:pPr>
      <w:r>
        <w:rPr>
          <w:rFonts w:ascii="Times" w:hAnsi="Times"/>
        </w:rPr>
        <w:t xml:space="preserve">b) CDP S.p.A. consulta preventivamente il Ministero dell’economia e delle finanzein merito ad operazioni di gestione </w:t>
      </w:r>
      <w:r w:rsidR="00C57919" w:rsidRPr="00C57919">
        <w:rPr>
          <w:rFonts w:ascii="Times" w:hAnsi="Times"/>
        </w:rPr>
        <w:t xml:space="preserve">della partecipazione in SACE S.p.A. diverse da </w:t>
      </w:r>
      <w:r>
        <w:rPr>
          <w:rFonts w:ascii="Times" w:hAnsi="Times"/>
        </w:rPr>
        <w:t xml:space="preserve"> quell</w:t>
      </w:r>
      <w:r w:rsidR="00C57919">
        <w:rPr>
          <w:rFonts w:ascii="Times" w:hAnsi="Times"/>
        </w:rPr>
        <w:t>a</w:t>
      </w:r>
      <w:r>
        <w:rPr>
          <w:rFonts w:ascii="Times" w:hAnsi="Times"/>
        </w:rPr>
        <w:t xml:space="preserve"> di cui alla</w:t>
      </w:r>
      <w:r w:rsidR="00E93105">
        <w:rPr>
          <w:rFonts w:ascii="Times" w:hAnsi="Times"/>
        </w:rPr>
        <w:t xml:space="preserve"> lettera a)</w:t>
      </w:r>
      <w:r>
        <w:rPr>
          <w:rFonts w:ascii="Times" w:hAnsi="Times"/>
        </w:rPr>
        <w:t>;</w:t>
      </w:r>
    </w:p>
    <w:p w:rsidR="00745826" w:rsidRDefault="00E93105" w:rsidP="00745826">
      <w:pPr>
        <w:rPr>
          <w:rFonts w:ascii="Times" w:hAnsi="Times"/>
        </w:rPr>
      </w:pPr>
      <w:r>
        <w:rPr>
          <w:rFonts w:ascii="Times" w:hAnsi="Times"/>
        </w:rPr>
        <w:t>c</w:t>
      </w:r>
      <w:r w:rsidR="00745826">
        <w:rPr>
          <w:rFonts w:ascii="Times" w:hAnsi="Times"/>
        </w:rPr>
        <w:t>) SACE S.p.A. non è soggetta all’attività di direzione e coordinamento di CDP S.p.A.;</w:t>
      </w:r>
    </w:p>
    <w:p w:rsidR="00745826" w:rsidRPr="00FE235B" w:rsidRDefault="00E93105" w:rsidP="00745826">
      <w:pPr>
        <w:rPr>
          <w:rFonts w:ascii="Times" w:hAnsi="Times"/>
        </w:rPr>
      </w:pPr>
      <w:r>
        <w:rPr>
          <w:rFonts w:ascii="Times" w:hAnsi="Times"/>
        </w:rPr>
        <w:t>d</w:t>
      </w:r>
      <w:r w:rsidR="00745826" w:rsidRPr="00FE235B">
        <w:rPr>
          <w:rFonts w:ascii="Times" w:hAnsi="Times"/>
        </w:rPr>
        <w:t>) SACE S.p.A. con</w:t>
      </w:r>
      <w:r w:rsidR="00745826">
        <w:rPr>
          <w:rFonts w:ascii="Times" w:hAnsi="Times"/>
        </w:rPr>
        <w:t>sulta preventivamente il Ministero dell’economia e delle finanze in ordine alle decisioni aziendali rilevanti ai fini dell’efficace attuazione delle misure di sostegno all’internazionalizzazione delle imprese e di rilancio degli investimenti</w:t>
      </w:r>
      <w:r w:rsidR="00C57919">
        <w:rPr>
          <w:rFonts w:ascii="Times" w:hAnsi="Times"/>
        </w:rPr>
        <w:t xml:space="preserve"> con particolare riferimento alle decisioni relative all’assunzione di impegni e al recupero dei crediti.</w:t>
      </w:r>
    </w:p>
    <w:p w:rsidR="00745826" w:rsidRDefault="00745826" w:rsidP="00745826">
      <w:pPr>
        <w:spacing w:after="120"/>
      </w:pPr>
    </w:p>
    <w:p w:rsidR="00745826" w:rsidRPr="00757BA7" w:rsidRDefault="00745826" w:rsidP="00745826">
      <w:pPr>
        <w:spacing w:after="120"/>
        <w:rPr>
          <w:rFonts w:cs="Times New Roman"/>
          <w:szCs w:val="24"/>
        </w:rPr>
      </w:pPr>
    </w:p>
    <w:p w:rsidR="00745826" w:rsidRPr="00757BA7" w:rsidRDefault="00745826" w:rsidP="00745826">
      <w:pPr>
        <w:spacing w:after="120"/>
        <w:jc w:val="center"/>
        <w:rPr>
          <w:rFonts w:cs="Times New Roman"/>
          <w:szCs w:val="24"/>
        </w:rPr>
      </w:pPr>
      <w:r w:rsidRPr="00757BA7">
        <w:rPr>
          <w:rFonts w:cs="Times New Roman"/>
          <w:szCs w:val="24"/>
        </w:rPr>
        <w:t xml:space="preserve">Articolo </w:t>
      </w:r>
      <w:r>
        <w:rPr>
          <w:rFonts w:cs="Times New Roman"/>
          <w:szCs w:val="24"/>
        </w:rPr>
        <w:t>4</w:t>
      </w:r>
    </w:p>
    <w:p w:rsidR="00745826" w:rsidRPr="00757BA7" w:rsidRDefault="00745826" w:rsidP="00745826">
      <w:pPr>
        <w:spacing w:after="120"/>
        <w:jc w:val="center"/>
        <w:rPr>
          <w:rFonts w:cs="Times New Roman"/>
          <w:szCs w:val="24"/>
        </w:rPr>
      </w:pPr>
      <w:r w:rsidRPr="00757BA7">
        <w:rPr>
          <w:rFonts w:cs="Times New Roman"/>
          <w:szCs w:val="24"/>
        </w:rPr>
        <w:t>(Disposizioni finanziarie)</w:t>
      </w:r>
    </w:p>
    <w:p w:rsidR="00745826" w:rsidRPr="00757BA7" w:rsidRDefault="00745826" w:rsidP="00745826">
      <w:pPr>
        <w:spacing w:after="120"/>
        <w:rPr>
          <w:rFonts w:cs="Times New Roman"/>
          <w:szCs w:val="24"/>
        </w:rPr>
      </w:pPr>
      <w:r w:rsidRPr="00757BA7">
        <w:rPr>
          <w:rFonts w:eastAsia="Times New Roman" w:cs="Times New Roman"/>
          <w:szCs w:val="24"/>
        </w:rPr>
        <w:t>1</w:t>
      </w:r>
      <w:r w:rsidRPr="00757BA7">
        <w:rPr>
          <w:rFonts w:cs="Times New Roman"/>
          <w:szCs w:val="24"/>
        </w:rPr>
        <w:t>. Ai fini dell</w:t>
      </w:r>
      <w:r>
        <w:rPr>
          <w:rFonts w:cs="Times New Roman"/>
          <w:szCs w:val="24"/>
        </w:rPr>
        <w:t>’</w:t>
      </w:r>
      <w:r w:rsidRPr="00757BA7">
        <w:rPr>
          <w:rFonts w:cs="Times New Roman"/>
          <w:szCs w:val="24"/>
        </w:rPr>
        <w:t xml:space="preserve">immediata attuazione delle disposizioni recate dal presente </w:t>
      </w:r>
      <w:r>
        <w:rPr>
          <w:rFonts w:cs="Times New Roman"/>
          <w:szCs w:val="24"/>
        </w:rPr>
        <w:t>decreto</w:t>
      </w:r>
      <w:r w:rsidRPr="00757BA7">
        <w:rPr>
          <w:rFonts w:cs="Times New Roman"/>
          <w:szCs w:val="24"/>
        </w:rPr>
        <w:t xml:space="preserve">, </w:t>
      </w:r>
      <w:r>
        <w:rPr>
          <w:rFonts w:cs="Times New Roman"/>
          <w:szCs w:val="24"/>
        </w:rPr>
        <w:t>il Ministro dell’economia e delle finanze è autorizzato ad apportare, con propri decreti, le occorrenti variazioni di bilancio. O</w:t>
      </w:r>
      <w:r w:rsidRPr="00757BA7">
        <w:rPr>
          <w:rFonts w:cs="Times New Roman"/>
          <w:szCs w:val="24"/>
        </w:rPr>
        <w:t>ve necessario, il Ministero dell’</w:t>
      </w:r>
      <w:r>
        <w:rPr>
          <w:rFonts w:cs="Times New Roman"/>
          <w:szCs w:val="24"/>
        </w:rPr>
        <w:t xml:space="preserve">economia e </w:t>
      </w:r>
      <w:r w:rsidRPr="00757BA7">
        <w:rPr>
          <w:rFonts w:cs="Times New Roman"/>
          <w:szCs w:val="24"/>
        </w:rPr>
        <w:t xml:space="preserve">delle </w:t>
      </w:r>
      <w:r>
        <w:rPr>
          <w:rFonts w:cs="Times New Roman"/>
          <w:szCs w:val="24"/>
        </w:rPr>
        <w:t>finanze</w:t>
      </w:r>
      <w:r w:rsidRPr="00757BA7">
        <w:rPr>
          <w:rFonts w:cs="Times New Roman"/>
          <w:szCs w:val="24"/>
        </w:rPr>
        <w:t xml:space="preserve"> può dispor</w:t>
      </w:r>
      <w:r>
        <w:rPr>
          <w:rFonts w:cs="Times New Roman"/>
          <w:szCs w:val="24"/>
        </w:rPr>
        <w:t xml:space="preserve">re il ricorso ad anticipazioni di tesoreria, la </w:t>
      </w:r>
      <w:r w:rsidRPr="00757BA7">
        <w:rPr>
          <w:rFonts w:cs="Times New Roman"/>
          <w:szCs w:val="24"/>
        </w:rPr>
        <w:t>cui</w:t>
      </w:r>
      <w:r>
        <w:rPr>
          <w:rFonts w:cs="Times New Roman"/>
          <w:szCs w:val="24"/>
        </w:rPr>
        <w:t xml:space="preserve"> regolarizzazione avviene tempestivamente con l’emissione</w:t>
      </w:r>
      <w:r w:rsidRPr="00757BA7">
        <w:rPr>
          <w:rFonts w:cs="Times New Roman"/>
          <w:szCs w:val="24"/>
        </w:rPr>
        <w:t xml:space="preserve"> di ordini di pagamento sui pertinenti capitoli di spesa.</w:t>
      </w:r>
    </w:p>
    <w:p w:rsidR="00745826" w:rsidRDefault="00745826" w:rsidP="00745826">
      <w:pPr>
        <w:spacing w:after="120"/>
        <w:rPr>
          <w:rFonts w:cs="Times New Roman"/>
          <w:szCs w:val="24"/>
        </w:rPr>
      </w:pPr>
    </w:p>
    <w:p w:rsidR="00745826" w:rsidRPr="00757BA7" w:rsidRDefault="00745826" w:rsidP="00745826">
      <w:pPr>
        <w:spacing w:after="120"/>
        <w:jc w:val="center"/>
        <w:rPr>
          <w:rFonts w:cs="Times New Roman"/>
          <w:szCs w:val="24"/>
        </w:rPr>
      </w:pPr>
      <w:r w:rsidRPr="00757BA7">
        <w:rPr>
          <w:rFonts w:cs="Times New Roman"/>
          <w:szCs w:val="24"/>
        </w:rPr>
        <w:t xml:space="preserve">Articolo </w:t>
      </w:r>
      <w:r>
        <w:rPr>
          <w:rFonts w:cs="Times New Roman"/>
          <w:szCs w:val="24"/>
        </w:rPr>
        <w:t>5</w:t>
      </w:r>
    </w:p>
    <w:p w:rsidR="00745826" w:rsidRPr="00757BA7" w:rsidRDefault="00745826" w:rsidP="00745826">
      <w:pPr>
        <w:spacing w:after="120"/>
        <w:jc w:val="center"/>
        <w:rPr>
          <w:rFonts w:eastAsia="Times New Roman" w:cs="Times New Roman"/>
          <w:szCs w:val="24"/>
        </w:rPr>
      </w:pPr>
      <w:r w:rsidRPr="00757BA7">
        <w:rPr>
          <w:rFonts w:cs="Times New Roman"/>
          <w:szCs w:val="24"/>
        </w:rPr>
        <w:t>(Disposizioni finali)</w:t>
      </w:r>
    </w:p>
    <w:p w:rsidR="00745826" w:rsidRPr="00757BA7" w:rsidRDefault="00745826" w:rsidP="00745826">
      <w:pPr>
        <w:spacing w:after="120"/>
        <w:rPr>
          <w:rFonts w:eastAsia="Times New Roman" w:cs="Times New Roman"/>
          <w:szCs w:val="24"/>
        </w:rPr>
      </w:pPr>
      <w:r w:rsidRPr="00757BA7">
        <w:rPr>
          <w:rFonts w:eastAsia="Times New Roman" w:cs="Times New Roman"/>
          <w:szCs w:val="24"/>
        </w:rPr>
        <w:t xml:space="preserve">1. Il presente </w:t>
      </w:r>
      <w:r>
        <w:rPr>
          <w:rFonts w:eastAsia="Times New Roman" w:cs="Times New Roman"/>
          <w:szCs w:val="24"/>
        </w:rPr>
        <w:t>decreto</w:t>
      </w:r>
      <w:r w:rsidRPr="00757BA7">
        <w:rPr>
          <w:rFonts w:eastAsia="Times New Roman" w:cs="Times New Roman"/>
          <w:szCs w:val="24"/>
        </w:rPr>
        <w:t xml:space="preserve"> entra in vigore il giorno stesso della sua pubblicazione nella Gazzetta Ufficiale della Repubblica italiana e sarà presentato alle Camere per la conversione in legge.</w:t>
      </w:r>
    </w:p>
    <w:p w:rsidR="00745826" w:rsidRPr="00757BA7" w:rsidRDefault="00745826" w:rsidP="00745826">
      <w:pPr>
        <w:spacing w:after="120"/>
        <w:rPr>
          <w:rFonts w:eastAsia="Times New Roman" w:cs="Times New Roman"/>
          <w:szCs w:val="24"/>
        </w:rPr>
      </w:pPr>
      <w:r w:rsidRPr="00757BA7">
        <w:rPr>
          <w:rFonts w:eastAsia="Times New Roman" w:cs="Times New Roman"/>
          <w:szCs w:val="24"/>
        </w:rPr>
        <w:lastRenderedPageBreak/>
        <w:t xml:space="preserve">Il presente </w:t>
      </w:r>
      <w:r>
        <w:rPr>
          <w:rFonts w:eastAsia="Times New Roman" w:cs="Times New Roman"/>
          <w:szCs w:val="24"/>
        </w:rPr>
        <w:t>decreto</w:t>
      </w:r>
      <w:r w:rsidRPr="00757BA7">
        <w:rPr>
          <w:rFonts w:eastAsia="Times New Roman" w:cs="Times New Roman"/>
          <w:szCs w:val="24"/>
        </w:rPr>
        <w:t>, munito del sigillo dello Stato, sarà inserito nella Raccolta ufficiale degli atti normativi della Repubblica italiana. È fatto obbligo a chiunque spetti di osservarlo e di farlo osservare.</w:t>
      </w:r>
    </w:p>
    <w:p w:rsidR="00745826" w:rsidRDefault="00745826" w:rsidP="00745826">
      <w:pPr>
        <w:spacing w:after="120"/>
        <w:rPr>
          <w:rFonts w:cs="Times New Roman"/>
          <w:szCs w:val="24"/>
        </w:rPr>
      </w:pPr>
    </w:p>
    <w:p w:rsidR="00745826" w:rsidRDefault="00745826" w:rsidP="00745826">
      <w:pPr>
        <w:rPr>
          <w:rFonts w:cs="Times New Roman"/>
          <w:szCs w:val="24"/>
        </w:rPr>
      </w:pPr>
      <w:r>
        <w:rPr>
          <w:rFonts w:cs="Times New Roman"/>
          <w:szCs w:val="24"/>
        </w:rPr>
        <w:br w:type="page"/>
      </w:r>
    </w:p>
    <w:p w:rsidR="00745826" w:rsidRDefault="00745826" w:rsidP="00745826">
      <w:pPr>
        <w:spacing w:after="120"/>
        <w:rPr>
          <w:rFonts w:cs="Times New Roman"/>
          <w:b/>
          <w:sz w:val="28"/>
          <w:szCs w:val="28"/>
        </w:rPr>
        <w:sectPr w:rsidR="00745826" w:rsidSect="00B41B2E">
          <w:footerReference w:type="default" r:id="rId8"/>
          <w:pgSz w:w="11906" w:h="16838"/>
          <w:pgMar w:top="1418" w:right="1418" w:bottom="1418" w:left="1418" w:header="709" w:footer="454" w:gutter="0"/>
          <w:cols w:space="708"/>
          <w:titlePg/>
          <w:docGrid w:linePitch="360"/>
        </w:sectPr>
      </w:pPr>
    </w:p>
    <w:p w:rsidR="00745826" w:rsidRPr="00B048CC" w:rsidRDefault="00745826" w:rsidP="00745826">
      <w:pPr>
        <w:spacing w:after="120"/>
        <w:rPr>
          <w:rFonts w:cs="Times New Roman"/>
          <w:b/>
          <w:sz w:val="28"/>
          <w:szCs w:val="28"/>
        </w:rPr>
      </w:pPr>
      <w:r w:rsidRPr="00B048CC">
        <w:rPr>
          <w:rFonts w:cs="Times New Roman"/>
          <w:b/>
          <w:sz w:val="28"/>
          <w:szCs w:val="28"/>
        </w:rPr>
        <w:lastRenderedPageBreak/>
        <w:t xml:space="preserve">TABELLA operazioni garantite dallo Stato ai sensi dell’articolo </w:t>
      </w:r>
      <w:r w:rsidR="00A43B8B">
        <w:rPr>
          <w:rFonts w:cs="Times New Roman"/>
          <w:b/>
          <w:sz w:val="28"/>
          <w:szCs w:val="28"/>
        </w:rPr>
        <w:t>2</w:t>
      </w:r>
      <w:r w:rsidRPr="00B048CC">
        <w:rPr>
          <w:rFonts w:cs="Times New Roman"/>
          <w:b/>
          <w:sz w:val="28"/>
          <w:szCs w:val="28"/>
        </w:rPr>
        <w:t>, comma 4</w:t>
      </w:r>
      <w:r>
        <w:rPr>
          <w:rFonts w:cs="Times New Roman"/>
          <w:b/>
          <w:sz w:val="28"/>
          <w:szCs w:val="28"/>
        </w:rPr>
        <w:t xml:space="preserve"> </w:t>
      </w:r>
      <w:r w:rsidRPr="00B048CC">
        <w:rPr>
          <w:rFonts w:cs="Times New Roman"/>
          <w:b/>
          <w:sz w:val="28"/>
          <w:szCs w:val="28"/>
        </w:rPr>
        <w:t xml:space="preserve">del decreto-legge </w:t>
      </w:r>
    </w:p>
    <w:p w:rsidR="00745826" w:rsidRDefault="00745826" w:rsidP="00745826">
      <w:pPr>
        <w:spacing w:after="120"/>
        <w:rPr>
          <w:b/>
          <w:sz w:val="28"/>
          <w:szCs w:val="28"/>
        </w:rPr>
      </w:pPr>
    </w:p>
    <w:p w:rsidR="00745826" w:rsidRPr="00950297" w:rsidRDefault="00745826" w:rsidP="00745826">
      <w:pPr>
        <w:rPr>
          <w:b/>
          <w:sz w:val="28"/>
          <w:szCs w:val="28"/>
        </w:rPr>
      </w:pPr>
      <w:r>
        <w:rPr>
          <w:b/>
          <w:sz w:val="28"/>
          <w:szCs w:val="28"/>
        </w:rPr>
        <w:t>1) O</w:t>
      </w:r>
      <w:r w:rsidRPr="00C01885">
        <w:rPr>
          <w:b/>
          <w:sz w:val="28"/>
          <w:szCs w:val="28"/>
        </w:rPr>
        <w:t xml:space="preserve">perazioni di cui al punto </w:t>
      </w:r>
      <w:r>
        <w:rPr>
          <w:b/>
          <w:sz w:val="28"/>
          <w:szCs w:val="28"/>
        </w:rPr>
        <w:t xml:space="preserve">a) dell’articolo 2, comma 4 </w:t>
      </w:r>
    </w:p>
    <w:tbl>
      <w:tblPr>
        <w:tblW w:w="5000" w:type="pct"/>
        <w:tblCellMar>
          <w:left w:w="70" w:type="dxa"/>
          <w:right w:w="70" w:type="dxa"/>
        </w:tblCellMar>
        <w:tblLook w:val="04A0" w:firstRow="1" w:lastRow="0" w:firstColumn="1" w:lastColumn="0" w:noHBand="0" w:noVBand="1"/>
      </w:tblPr>
      <w:tblGrid>
        <w:gridCol w:w="1474"/>
        <w:gridCol w:w="1647"/>
        <w:gridCol w:w="1380"/>
        <w:gridCol w:w="1514"/>
        <w:gridCol w:w="1300"/>
        <w:gridCol w:w="1197"/>
        <w:gridCol w:w="1734"/>
        <w:gridCol w:w="874"/>
        <w:gridCol w:w="1234"/>
        <w:gridCol w:w="1638"/>
      </w:tblGrid>
      <w:tr w:rsidR="00745826" w:rsidRPr="00000041" w:rsidTr="00FE4DD9">
        <w:trPr>
          <w:trHeight w:val="864"/>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b/>
                <w:bCs/>
              </w:rPr>
            </w:pPr>
            <w:r w:rsidRPr="00000041">
              <w:rPr>
                <w:rFonts w:eastAsia="Times New Roman" w:cs="Calibri"/>
                <w:b/>
                <w:bCs/>
              </w:rPr>
              <w:t>N. Operazione</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b/>
                <w:bCs/>
              </w:rPr>
            </w:pPr>
            <w:r w:rsidRPr="00000041">
              <w:rPr>
                <w:rFonts w:eastAsia="Times New Roman" w:cs="Calibri"/>
                <w:b/>
                <w:bCs/>
              </w:rPr>
              <w:t>Esportatore</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b/>
                <w:bCs/>
              </w:rPr>
            </w:pPr>
            <w:r w:rsidRPr="00000041">
              <w:rPr>
                <w:rFonts w:eastAsia="Times New Roman" w:cs="Calibri"/>
                <w:b/>
                <w:bCs/>
              </w:rPr>
              <w:t>Debitore / Garante</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b/>
                <w:bCs/>
              </w:rPr>
            </w:pPr>
            <w:r w:rsidRPr="00000041">
              <w:rPr>
                <w:rFonts w:eastAsia="Times New Roman" w:cs="Calibri"/>
                <w:b/>
                <w:bCs/>
              </w:rPr>
              <w:t>Oggetto</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b/>
                <w:bCs/>
              </w:rPr>
            </w:pPr>
            <w:r w:rsidRPr="00000041">
              <w:rPr>
                <w:rFonts w:eastAsia="Times New Roman" w:cs="Calibri"/>
                <w:b/>
                <w:bCs/>
              </w:rPr>
              <w:t>Paese</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b/>
                <w:bCs/>
              </w:rPr>
            </w:pPr>
            <w:r w:rsidRPr="00000041">
              <w:rPr>
                <w:rFonts w:eastAsia="Times New Roman" w:cs="Calibri"/>
                <w:b/>
                <w:bCs/>
              </w:rPr>
              <w:t>Valore del Contratto</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b/>
                <w:bCs/>
              </w:rPr>
            </w:pPr>
            <w:r w:rsidRPr="00000041">
              <w:rPr>
                <w:rFonts w:eastAsia="Times New Roman" w:cs="Calibri"/>
                <w:b/>
                <w:bCs/>
              </w:rPr>
              <w:t xml:space="preserve">Impegno assicurativo </w:t>
            </w:r>
            <w:r w:rsidRPr="00000041">
              <w:rPr>
                <w:rFonts w:eastAsia="Times New Roman" w:cs="Calibri"/>
                <w:b/>
                <w:bCs/>
              </w:rPr>
              <w:br/>
              <w:t>(nominale/€)</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b/>
                <w:bCs/>
              </w:rPr>
            </w:pPr>
            <w:r w:rsidRPr="00000041">
              <w:rPr>
                <w:rFonts w:eastAsia="Times New Roman" w:cs="Calibri"/>
                <w:b/>
                <w:bCs/>
              </w:rPr>
              <w:t>Durata (anni)</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b/>
                <w:bCs/>
              </w:rPr>
            </w:pPr>
            <w:r w:rsidRPr="00000041">
              <w:rPr>
                <w:rFonts w:eastAsia="Times New Roman" w:cs="Calibri"/>
                <w:b/>
                <w:bCs/>
              </w:rPr>
              <w:t>Data Delibera SACE</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b/>
                <w:bCs/>
              </w:rPr>
            </w:pPr>
            <w:r w:rsidRPr="00000041">
              <w:rPr>
                <w:rFonts w:eastAsia="Times New Roman" w:cs="Calibri"/>
                <w:b/>
                <w:bCs/>
              </w:rPr>
              <w:t>Superamento Portata Massima</w:t>
            </w:r>
          </w:p>
        </w:tc>
      </w:tr>
      <w:tr w:rsidR="00745826" w:rsidRPr="00000041" w:rsidTr="00FE4DD9">
        <w:trPr>
          <w:trHeight w:val="70"/>
        </w:trPr>
        <w:tc>
          <w:tcPr>
            <w:tcW w:w="565" w:type="pct"/>
            <w:tcBorders>
              <w:top w:val="nil"/>
              <w:left w:val="nil"/>
              <w:bottom w:val="nil"/>
              <w:right w:val="nil"/>
            </w:tcBorders>
            <w:shd w:val="clear" w:color="auto" w:fill="auto"/>
            <w:noWrap/>
            <w:vAlign w:val="bottom"/>
            <w:hideMark/>
          </w:tcPr>
          <w:p w:rsidR="00745826" w:rsidRPr="00000041" w:rsidRDefault="00745826" w:rsidP="00FE4DD9">
            <w:pPr>
              <w:jc w:val="center"/>
              <w:rPr>
                <w:rFonts w:eastAsia="Times New Roman" w:cs="Calibri"/>
                <w:b/>
                <w:bCs/>
              </w:rPr>
            </w:pPr>
          </w:p>
        </w:tc>
        <w:tc>
          <w:tcPr>
            <w:tcW w:w="615" w:type="pct"/>
            <w:tcBorders>
              <w:top w:val="nil"/>
              <w:left w:val="nil"/>
              <w:bottom w:val="nil"/>
              <w:right w:val="nil"/>
            </w:tcBorders>
            <w:shd w:val="clear" w:color="auto" w:fill="auto"/>
            <w:noWrap/>
            <w:vAlign w:val="bottom"/>
            <w:hideMark/>
          </w:tcPr>
          <w:p w:rsidR="00745826" w:rsidRPr="00000041" w:rsidRDefault="00745826" w:rsidP="00FE4DD9">
            <w:pPr>
              <w:rPr>
                <w:rFonts w:eastAsia="Times New Roman"/>
                <w:sz w:val="20"/>
                <w:szCs w:val="20"/>
              </w:rPr>
            </w:pPr>
          </w:p>
        </w:tc>
        <w:tc>
          <w:tcPr>
            <w:tcW w:w="450" w:type="pct"/>
            <w:tcBorders>
              <w:top w:val="nil"/>
              <w:left w:val="nil"/>
              <w:bottom w:val="nil"/>
              <w:right w:val="nil"/>
            </w:tcBorders>
            <w:shd w:val="clear" w:color="auto" w:fill="auto"/>
            <w:noWrap/>
            <w:vAlign w:val="bottom"/>
            <w:hideMark/>
          </w:tcPr>
          <w:p w:rsidR="00745826" w:rsidRPr="00000041" w:rsidRDefault="00745826" w:rsidP="00FE4DD9">
            <w:pPr>
              <w:rPr>
                <w:rFonts w:eastAsia="Times New Roman"/>
                <w:sz w:val="20"/>
                <w:szCs w:val="20"/>
              </w:rPr>
            </w:pPr>
          </w:p>
        </w:tc>
        <w:tc>
          <w:tcPr>
            <w:tcW w:w="454" w:type="pct"/>
            <w:tcBorders>
              <w:top w:val="nil"/>
              <w:left w:val="nil"/>
              <w:bottom w:val="nil"/>
              <w:right w:val="nil"/>
            </w:tcBorders>
            <w:shd w:val="clear" w:color="auto" w:fill="auto"/>
            <w:noWrap/>
            <w:vAlign w:val="bottom"/>
            <w:hideMark/>
          </w:tcPr>
          <w:p w:rsidR="00745826" w:rsidRPr="00000041" w:rsidRDefault="00745826" w:rsidP="00FE4DD9">
            <w:pPr>
              <w:rPr>
                <w:rFonts w:eastAsia="Times New Roman"/>
                <w:sz w:val="20"/>
                <w:szCs w:val="20"/>
              </w:rPr>
            </w:pPr>
          </w:p>
        </w:tc>
        <w:tc>
          <w:tcPr>
            <w:tcW w:w="320" w:type="pct"/>
            <w:tcBorders>
              <w:top w:val="nil"/>
              <w:left w:val="nil"/>
              <w:bottom w:val="nil"/>
              <w:right w:val="nil"/>
            </w:tcBorders>
            <w:shd w:val="clear" w:color="auto" w:fill="auto"/>
            <w:noWrap/>
            <w:vAlign w:val="bottom"/>
            <w:hideMark/>
          </w:tcPr>
          <w:p w:rsidR="00745826" w:rsidRPr="00000041" w:rsidRDefault="00745826" w:rsidP="00FE4DD9">
            <w:pPr>
              <w:rPr>
                <w:rFonts w:eastAsia="Times New Roman"/>
                <w:sz w:val="20"/>
                <w:szCs w:val="20"/>
              </w:rPr>
            </w:pPr>
          </w:p>
        </w:tc>
        <w:tc>
          <w:tcPr>
            <w:tcW w:w="481" w:type="pct"/>
            <w:tcBorders>
              <w:top w:val="nil"/>
              <w:left w:val="nil"/>
              <w:bottom w:val="nil"/>
              <w:right w:val="nil"/>
            </w:tcBorders>
            <w:shd w:val="clear" w:color="auto" w:fill="auto"/>
            <w:noWrap/>
            <w:vAlign w:val="bottom"/>
            <w:hideMark/>
          </w:tcPr>
          <w:p w:rsidR="00745826" w:rsidRPr="00000041" w:rsidRDefault="00745826" w:rsidP="00FE4DD9">
            <w:pPr>
              <w:rPr>
                <w:rFonts w:eastAsia="Times New Roman"/>
                <w:sz w:val="20"/>
                <w:szCs w:val="20"/>
              </w:rPr>
            </w:pPr>
          </w:p>
        </w:tc>
        <w:tc>
          <w:tcPr>
            <w:tcW w:w="659" w:type="pct"/>
            <w:tcBorders>
              <w:top w:val="nil"/>
              <w:left w:val="nil"/>
              <w:bottom w:val="nil"/>
              <w:right w:val="nil"/>
            </w:tcBorders>
            <w:shd w:val="clear" w:color="auto" w:fill="auto"/>
            <w:noWrap/>
            <w:vAlign w:val="bottom"/>
            <w:hideMark/>
          </w:tcPr>
          <w:p w:rsidR="00745826" w:rsidRPr="00000041" w:rsidRDefault="00745826" w:rsidP="00FE4DD9">
            <w:pPr>
              <w:rPr>
                <w:rFonts w:eastAsia="Times New Roman"/>
                <w:sz w:val="20"/>
                <w:szCs w:val="20"/>
              </w:rPr>
            </w:pPr>
          </w:p>
        </w:tc>
        <w:tc>
          <w:tcPr>
            <w:tcW w:w="336" w:type="pct"/>
            <w:tcBorders>
              <w:top w:val="nil"/>
              <w:left w:val="nil"/>
              <w:bottom w:val="nil"/>
              <w:right w:val="nil"/>
            </w:tcBorders>
            <w:shd w:val="clear" w:color="auto" w:fill="auto"/>
            <w:noWrap/>
            <w:vAlign w:val="bottom"/>
            <w:hideMark/>
          </w:tcPr>
          <w:p w:rsidR="00745826" w:rsidRPr="00000041" w:rsidRDefault="00745826" w:rsidP="00FE4DD9">
            <w:pPr>
              <w:rPr>
                <w:rFonts w:eastAsia="Times New Roman"/>
                <w:sz w:val="20"/>
                <w:szCs w:val="20"/>
              </w:rPr>
            </w:pPr>
          </w:p>
        </w:tc>
        <w:tc>
          <w:tcPr>
            <w:tcW w:w="474" w:type="pct"/>
            <w:tcBorders>
              <w:top w:val="nil"/>
              <w:left w:val="nil"/>
              <w:bottom w:val="nil"/>
              <w:right w:val="nil"/>
            </w:tcBorders>
            <w:shd w:val="clear" w:color="auto" w:fill="auto"/>
            <w:noWrap/>
            <w:vAlign w:val="bottom"/>
            <w:hideMark/>
          </w:tcPr>
          <w:p w:rsidR="00745826" w:rsidRPr="00000041" w:rsidRDefault="00745826" w:rsidP="00FE4DD9">
            <w:pPr>
              <w:rPr>
                <w:rFonts w:eastAsia="Times New Roman"/>
                <w:sz w:val="20"/>
                <w:szCs w:val="20"/>
              </w:rPr>
            </w:pPr>
          </w:p>
        </w:tc>
        <w:tc>
          <w:tcPr>
            <w:tcW w:w="646" w:type="pct"/>
            <w:tcBorders>
              <w:top w:val="nil"/>
              <w:left w:val="nil"/>
              <w:bottom w:val="nil"/>
              <w:right w:val="nil"/>
            </w:tcBorders>
            <w:shd w:val="clear" w:color="auto" w:fill="auto"/>
            <w:noWrap/>
            <w:vAlign w:val="bottom"/>
            <w:hideMark/>
          </w:tcPr>
          <w:p w:rsidR="00745826" w:rsidRPr="00000041" w:rsidRDefault="00745826" w:rsidP="00FE4DD9">
            <w:pPr>
              <w:rPr>
                <w:rFonts w:eastAsia="Times New Roman"/>
                <w:sz w:val="20"/>
                <w:szCs w:val="20"/>
              </w:rPr>
            </w:pPr>
          </w:p>
        </w:tc>
      </w:tr>
      <w:tr w:rsidR="00745826" w:rsidRPr="00000041" w:rsidTr="00FE4DD9">
        <w:trPr>
          <w:trHeight w:val="576"/>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rPr>
            </w:pPr>
            <w:r w:rsidRPr="00965EEC">
              <w:rPr>
                <w:rFonts w:eastAsia="Times New Roman" w:cs="Calibri"/>
              </w:rPr>
              <w:t>2019/0686/00</w:t>
            </w:r>
            <w:r w:rsidRPr="00965EEC">
              <w:rPr>
                <w:rFonts w:eastAsia="Times New Roman" w:cs="Calibri"/>
              </w:rPr>
              <w:br/>
              <w:t>Istanza n. 1 2019</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rPr>
            </w:pPr>
            <w:r w:rsidRPr="00965EEC">
              <w:rPr>
                <w:rFonts w:eastAsia="Times New Roman" w:cs="Calibri"/>
              </w:rPr>
              <w:t>FINCANTIERI S.P.A.</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rPr>
            </w:pPr>
            <w:r w:rsidRPr="00965EEC">
              <w:rPr>
                <w:rFonts w:eastAsia="Times New Roman" w:cs="Calibri"/>
              </w:rPr>
              <w:t>MSC Cruises SA</w:t>
            </w:r>
          </w:p>
        </w:tc>
        <w:tc>
          <w:tcPr>
            <w:tcW w:w="454" w:type="pct"/>
            <w:tcBorders>
              <w:top w:val="single" w:sz="4" w:space="0" w:color="auto"/>
              <w:left w:val="nil"/>
              <w:bottom w:val="single" w:sz="4" w:space="0" w:color="auto"/>
              <w:right w:val="single" w:sz="4" w:space="0" w:color="auto"/>
            </w:tcBorders>
            <w:shd w:val="clear" w:color="auto" w:fill="auto"/>
            <w:hideMark/>
          </w:tcPr>
          <w:p w:rsidR="00745826" w:rsidRPr="00965EEC" w:rsidRDefault="00745826" w:rsidP="00FE4DD9">
            <w:pPr>
              <w:jc w:val="center"/>
              <w:rPr>
                <w:rFonts w:eastAsia="Times New Roman" w:cs="Calibri"/>
                <w:color w:val="C00000"/>
              </w:rPr>
            </w:pPr>
            <w:r w:rsidRPr="00471490">
              <w:t>Fornitura di una nave da crociera con prevista consegna nel 2023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745826" w:rsidRPr="00F227CF" w:rsidRDefault="00745826" w:rsidP="00FE4DD9">
            <w:pPr>
              <w:jc w:val="center"/>
              <w:rPr>
                <w:rFonts w:eastAsia="Times New Roman" w:cs="Calibri"/>
              </w:rPr>
            </w:pPr>
            <w:r w:rsidRPr="00F227CF">
              <w:rPr>
                <w:rFonts w:eastAsia="Times New Roman" w:cs="Calibri"/>
              </w:rPr>
              <w:t>SVIZZERA</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color w:val="C00000"/>
              </w:rPr>
            </w:pPr>
            <w:r w:rsidRPr="007868B8">
              <w:t>479 mln/euro</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color w:val="C00000"/>
              </w:rPr>
            </w:pPr>
            <w:r w:rsidRPr="007868B8">
              <w:t>474.260.049</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color w:val="C00000"/>
              </w:rPr>
            </w:pPr>
            <w:r w:rsidRPr="007868B8">
              <w:t>16</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color w:val="C00000"/>
              </w:rPr>
            </w:pPr>
            <w:r>
              <w:t>24/06/2019</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color w:val="C00000"/>
              </w:rPr>
            </w:pPr>
            <w:r w:rsidRPr="007868B8">
              <w:t xml:space="preserve">Controparte </w:t>
            </w:r>
          </w:p>
        </w:tc>
      </w:tr>
      <w:tr w:rsidR="00745826" w:rsidRPr="00000041" w:rsidTr="00FE4DD9">
        <w:trPr>
          <w:trHeight w:val="576"/>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rPr>
            </w:pPr>
            <w:r w:rsidRPr="00965EEC">
              <w:rPr>
                <w:rFonts w:eastAsia="Times New Roman" w:cs="Calibri"/>
              </w:rPr>
              <w:t>2019/0689/00</w:t>
            </w:r>
            <w:r w:rsidRPr="00965EEC">
              <w:rPr>
                <w:rFonts w:eastAsia="Times New Roman" w:cs="Calibri"/>
              </w:rPr>
              <w:br/>
              <w:t>Istanza n. 2 2019</w:t>
            </w:r>
          </w:p>
        </w:tc>
        <w:tc>
          <w:tcPr>
            <w:tcW w:w="615" w:type="pct"/>
            <w:tcBorders>
              <w:top w:val="nil"/>
              <w:left w:val="nil"/>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rPr>
            </w:pPr>
            <w:r w:rsidRPr="00965EEC">
              <w:rPr>
                <w:rFonts w:eastAsia="Times New Roman" w:cs="Calibri"/>
              </w:rPr>
              <w:t>FINCANTIERI S.P.A.</w:t>
            </w:r>
          </w:p>
        </w:tc>
        <w:tc>
          <w:tcPr>
            <w:tcW w:w="450" w:type="pct"/>
            <w:tcBorders>
              <w:top w:val="nil"/>
              <w:left w:val="nil"/>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rPr>
            </w:pPr>
            <w:r w:rsidRPr="00965EEC">
              <w:rPr>
                <w:rFonts w:eastAsia="Times New Roman" w:cs="Calibri"/>
              </w:rPr>
              <w:t>MSC Cruises SA</w:t>
            </w:r>
          </w:p>
        </w:tc>
        <w:tc>
          <w:tcPr>
            <w:tcW w:w="454" w:type="pct"/>
            <w:tcBorders>
              <w:top w:val="nil"/>
              <w:left w:val="nil"/>
              <w:bottom w:val="single" w:sz="4" w:space="0" w:color="auto"/>
              <w:right w:val="single" w:sz="4" w:space="0" w:color="auto"/>
            </w:tcBorders>
            <w:shd w:val="clear" w:color="auto" w:fill="auto"/>
            <w:hideMark/>
          </w:tcPr>
          <w:p w:rsidR="00745826" w:rsidRPr="00965EEC" w:rsidRDefault="00745826" w:rsidP="00FE4DD9">
            <w:pPr>
              <w:jc w:val="center"/>
              <w:rPr>
                <w:rFonts w:eastAsia="Times New Roman" w:cs="Calibri"/>
                <w:color w:val="C00000"/>
              </w:rPr>
            </w:pPr>
            <w:r w:rsidRPr="00471490">
              <w:t>Fornitura di una nave da crociera con prevista consegna nel 2024</w:t>
            </w:r>
          </w:p>
        </w:tc>
        <w:tc>
          <w:tcPr>
            <w:tcW w:w="320" w:type="pct"/>
            <w:tcBorders>
              <w:top w:val="nil"/>
              <w:left w:val="nil"/>
              <w:bottom w:val="single" w:sz="4" w:space="0" w:color="auto"/>
              <w:right w:val="single" w:sz="4" w:space="0" w:color="auto"/>
            </w:tcBorders>
            <w:shd w:val="clear" w:color="auto" w:fill="auto"/>
            <w:vAlign w:val="center"/>
            <w:hideMark/>
          </w:tcPr>
          <w:p w:rsidR="00745826" w:rsidRPr="00F227CF" w:rsidRDefault="00745826" w:rsidP="00FE4DD9">
            <w:pPr>
              <w:jc w:val="center"/>
              <w:rPr>
                <w:rFonts w:eastAsia="Times New Roman" w:cs="Calibri"/>
              </w:rPr>
            </w:pPr>
            <w:r w:rsidRPr="00F227CF">
              <w:rPr>
                <w:rFonts w:eastAsia="Times New Roman" w:cs="Calibri"/>
              </w:rPr>
              <w:t>SVIZZERA</w:t>
            </w:r>
          </w:p>
        </w:tc>
        <w:tc>
          <w:tcPr>
            <w:tcW w:w="481" w:type="pct"/>
            <w:tcBorders>
              <w:top w:val="nil"/>
              <w:left w:val="nil"/>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color w:val="C00000"/>
              </w:rPr>
            </w:pPr>
            <w:r w:rsidRPr="007868B8">
              <w:t>489 mln/euro</w:t>
            </w:r>
          </w:p>
        </w:tc>
        <w:tc>
          <w:tcPr>
            <w:tcW w:w="659" w:type="pct"/>
            <w:tcBorders>
              <w:top w:val="nil"/>
              <w:left w:val="nil"/>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color w:val="C00000"/>
              </w:rPr>
            </w:pPr>
            <w:r w:rsidRPr="007868B8">
              <w:t>484.546.720</w:t>
            </w:r>
          </w:p>
        </w:tc>
        <w:tc>
          <w:tcPr>
            <w:tcW w:w="336" w:type="pct"/>
            <w:tcBorders>
              <w:top w:val="nil"/>
              <w:left w:val="nil"/>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color w:val="C00000"/>
              </w:rPr>
            </w:pPr>
            <w:r w:rsidRPr="007868B8">
              <w:t>17</w:t>
            </w:r>
          </w:p>
        </w:tc>
        <w:tc>
          <w:tcPr>
            <w:tcW w:w="474" w:type="pct"/>
            <w:tcBorders>
              <w:top w:val="nil"/>
              <w:left w:val="nil"/>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color w:val="C00000"/>
              </w:rPr>
            </w:pPr>
            <w:r>
              <w:t>24/06/2019</w:t>
            </w:r>
          </w:p>
        </w:tc>
        <w:tc>
          <w:tcPr>
            <w:tcW w:w="646" w:type="pct"/>
            <w:tcBorders>
              <w:top w:val="nil"/>
              <w:left w:val="nil"/>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color w:val="C00000"/>
              </w:rPr>
            </w:pPr>
            <w:r w:rsidRPr="007868B8">
              <w:t xml:space="preserve">Controparte </w:t>
            </w:r>
          </w:p>
        </w:tc>
      </w:tr>
      <w:tr w:rsidR="00745826" w:rsidRPr="00000041" w:rsidTr="00FE4DD9">
        <w:trPr>
          <w:trHeight w:val="576"/>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rPr>
            </w:pPr>
            <w:r w:rsidRPr="00965EEC">
              <w:rPr>
                <w:rFonts w:eastAsia="Times New Roman" w:cs="Calibri"/>
              </w:rPr>
              <w:lastRenderedPageBreak/>
              <w:t>2019/0690/00</w:t>
            </w:r>
            <w:r w:rsidRPr="00965EEC">
              <w:rPr>
                <w:rFonts w:eastAsia="Times New Roman" w:cs="Calibri"/>
              </w:rPr>
              <w:br/>
              <w:t>Istanza n. 3 2019</w:t>
            </w:r>
          </w:p>
        </w:tc>
        <w:tc>
          <w:tcPr>
            <w:tcW w:w="615" w:type="pct"/>
            <w:tcBorders>
              <w:top w:val="nil"/>
              <w:left w:val="nil"/>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rPr>
            </w:pPr>
            <w:r w:rsidRPr="00965EEC">
              <w:rPr>
                <w:rFonts w:eastAsia="Times New Roman" w:cs="Calibri"/>
              </w:rPr>
              <w:t>FINCANTIERI S.P.A.</w:t>
            </w:r>
          </w:p>
        </w:tc>
        <w:tc>
          <w:tcPr>
            <w:tcW w:w="450" w:type="pct"/>
            <w:tcBorders>
              <w:top w:val="nil"/>
              <w:left w:val="nil"/>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rPr>
            </w:pPr>
            <w:r w:rsidRPr="00965EEC">
              <w:rPr>
                <w:rFonts w:eastAsia="Times New Roman" w:cs="Calibri"/>
              </w:rPr>
              <w:t>MSC Cruises SA</w:t>
            </w:r>
          </w:p>
        </w:tc>
        <w:tc>
          <w:tcPr>
            <w:tcW w:w="454" w:type="pct"/>
            <w:tcBorders>
              <w:top w:val="nil"/>
              <w:left w:val="nil"/>
              <w:bottom w:val="single" w:sz="4" w:space="0" w:color="auto"/>
              <w:right w:val="single" w:sz="4" w:space="0" w:color="auto"/>
            </w:tcBorders>
            <w:shd w:val="clear" w:color="auto" w:fill="auto"/>
            <w:hideMark/>
          </w:tcPr>
          <w:p w:rsidR="00745826" w:rsidRPr="00965EEC" w:rsidRDefault="00745826" w:rsidP="00FE4DD9">
            <w:pPr>
              <w:jc w:val="center"/>
              <w:rPr>
                <w:rFonts w:eastAsia="Times New Roman" w:cs="Calibri"/>
                <w:color w:val="C00000"/>
              </w:rPr>
            </w:pPr>
            <w:r w:rsidRPr="00471490">
              <w:t>Fornitura di una nave da crociera con prevista consegna nel 2025</w:t>
            </w:r>
          </w:p>
        </w:tc>
        <w:tc>
          <w:tcPr>
            <w:tcW w:w="320" w:type="pct"/>
            <w:tcBorders>
              <w:top w:val="nil"/>
              <w:left w:val="nil"/>
              <w:bottom w:val="single" w:sz="4" w:space="0" w:color="auto"/>
              <w:right w:val="single" w:sz="4" w:space="0" w:color="auto"/>
            </w:tcBorders>
            <w:shd w:val="clear" w:color="auto" w:fill="auto"/>
            <w:vAlign w:val="center"/>
            <w:hideMark/>
          </w:tcPr>
          <w:p w:rsidR="00745826" w:rsidRPr="00F227CF" w:rsidRDefault="00745826" w:rsidP="00FE4DD9">
            <w:pPr>
              <w:jc w:val="center"/>
              <w:rPr>
                <w:rFonts w:eastAsia="Times New Roman" w:cs="Calibri"/>
              </w:rPr>
            </w:pPr>
            <w:r w:rsidRPr="00F227CF">
              <w:rPr>
                <w:rFonts w:eastAsia="Times New Roman" w:cs="Calibri"/>
              </w:rPr>
              <w:t>SVIZZERA</w:t>
            </w:r>
          </w:p>
        </w:tc>
        <w:tc>
          <w:tcPr>
            <w:tcW w:w="481" w:type="pct"/>
            <w:tcBorders>
              <w:top w:val="nil"/>
              <w:left w:val="nil"/>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color w:val="C00000"/>
              </w:rPr>
            </w:pPr>
            <w:r w:rsidRPr="007868B8">
              <w:t>494 mln/euro</w:t>
            </w:r>
          </w:p>
        </w:tc>
        <w:tc>
          <w:tcPr>
            <w:tcW w:w="659" w:type="pct"/>
            <w:tcBorders>
              <w:top w:val="nil"/>
              <w:left w:val="nil"/>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color w:val="C00000"/>
              </w:rPr>
            </w:pPr>
            <w:r w:rsidRPr="007868B8">
              <w:t>490.021.894</w:t>
            </w:r>
          </w:p>
        </w:tc>
        <w:tc>
          <w:tcPr>
            <w:tcW w:w="336" w:type="pct"/>
            <w:tcBorders>
              <w:top w:val="nil"/>
              <w:left w:val="nil"/>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color w:val="C00000"/>
              </w:rPr>
            </w:pPr>
            <w:r w:rsidRPr="007868B8">
              <w:t>18,5</w:t>
            </w:r>
          </w:p>
        </w:tc>
        <w:tc>
          <w:tcPr>
            <w:tcW w:w="474" w:type="pct"/>
            <w:tcBorders>
              <w:top w:val="nil"/>
              <w:left w:val="nil"/>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color w:val="C00000"/>
              </w:rPr>
            </w:pPr>
            <w:r>
              <w:t>24/06/2019</w:t>
            </w:r>
          </w:p>
        </w:tc>
        <w:tc>
          <w:tcPr>
            <w:tcW w:w="646" w:type="pct"/>
            <w:tcBorders>
              <w:top w:val="nil"/>
              <w:left w:val="nil"/>
              <w:bottom w:val="single" w:sz="4" w:space="0" w:color="auto"/>
              <w:right w:val="single" w:sz="4" w:space="0" w:color="auto"/>
            </w:tcBorders>
            <w:shd w:val="clear" w:color="auto" w:fill="auto"/>
            <w:vAlign w:val="center"/>
            <w:hideMark/>
          </w:tcPr>
          <w:p w:rsidR="00745826" w:rsidRPr="00965EEC" w:rsidRDefault="00745826" w:rsidP="00FE4DD9">
            <w:pPr>
              <w:jc w:val="center"/>
              <w:rPr>
                <w:rFonts w:eastAsia="Times New Roman" w:cs="Calibri"/>
                <w:color w:val="C00000"/>
              </w:rPr>
            </w:pPr>
            <w:r w:rsidRPr="007868B8">
              <w:t xml:space="preserve">Controparte </w:t>
            </w:r>
          </w:p>
        </w:tc>
      </w:tr>
      <w:tr w:rsidR="00745826" w:rsidRPr="00000041" w:rsidTr="00FE4DD9">
        <w:trPr>
          <w:trHeight w:val="576"/>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745826" w:rsidRPr="00965EEC" w:rsidRDefault="00745826" w:rsidP="00FE4DD9">
            <w:pPr>
              <w:jc w:val="center"/>
              <w:rPr>
                <w:rFonts w:eastAsia="Times New Roman" w:cs="Calibri"/>
              </w:rPr>
            </w:pPr>
            <w:r w:rsidRPr="00965EEC">
              <w:rPr>
                <w:rFonts w:eastAsia="Times New Roman" w:cs="Calibri"/>
              </w:rPr>
              <w:t xml:space="preserve">2019/0691/00 </w:t>
            </w:r>
          </w:p>
          <w:p w:rsidR="00745826" w:rsidRPr="00965EEC" w:rsidRDefault="00745826" w:rsidP="00FE4DD9">
            <w:pPr>
              <w:jc w:val="center"/>
              <w:rPr>
                <w:rFonts w:eastAsia="Times New Roman" w:cs="Calibri"/>
              </w:rPr>
            </w:pPr>
            <w:r w:rsidRPr="00965EEC">
              <w:rPr>
                <w:rFonts w:eastAsia="Times New Roman" w:cs="Calibri"/>
              </w:rPr>
              <w:t>Istanza n. 4 2019</w:t>
            </w:r>
          </w:p>
        </w:tc>
        <w:tc>
          <w:tcPr>
            <w:tcW w:w="615" w:type="pct"/>
            <w:tcBorders>
              <w:top w:val="single" w:sz="4" w:space="0" w:color="auto"/>
              <w:left w:val="nil"/>
              <w:bottom w:val="single" w:sz="4" w:space="0" w:color="auto"/>
              <w:right w:val="single" w:sz="4" w:space="0" w:color="auto"/>
            </w:tcBorders>
            <w:shd w:val="clear" w:color="auto" w:fill="auto"/>
            <w:vAlign w:val="center"/>
          </w:tcPr>
          <w:p w:rsidR="00745826" w:rsidRPr="00965EEC" w:rsidRDefault="00745826" w:rsidP="00FE4DD9">
            <w:pPr>
              <w:jc w:val="center"/>
              <w:rPr>
                <w:rFonts w:eastAsia="Times New Roman" w:cs="Calibri"/>
              </w:rPr>
            </w:pPr>
            <w:r w:rsidRPr="00965EEC">
              <w:rPr>
                <w:rFonts w:eastAsia="Times New Roman" w:cs="Calibri"/>
              </w:rPr>
              <w:t>FINCANTIERI S.P.A.</w:t>
            </w:r>
          </w:p>
        </w:tc>
        <w:tc>
          <w:tcPr>
            <w:tcW w:w="450" w:type="pct"/>
            <w:tcBorders>
              <w:top w:val="single" w:sz="4" w:space="0" w:color="auto"/>
              <w:left w:val="nil"/>
              <w:bottom w:val="single" w:sz="4" w:space="0" w:color="auto"/>
              <w:right w:val="single" w:sz="4" w:space="0" w:color="auto"/>
            </w:tcBorders>
            <w:shd w:val="clear" w:color="auto" w:fill="auto"/>
            <w:vAlign w:val="center"/>
          </w:tcPr>
          <w:p w:rsidR="00745826" w:rsidRPr="00965EEC" w:rsidRDefault="00745826" w:rsidP="00FE4DD9">
            <w:pPr>
              <w:jc w:val="center"/>
              <w:rPr>
                <w:rFonts w:eastAsia="Times New Roman" w:cs="Calibri"/>
              </w:rPr>
            </w:pPr>
            <w:r w:rsidRPr="00965EEC">
              <w:rPr>
                <w:rFonts w:eastAsia="Times New Roman" w:cs="Calibri"/>
              </w:rPr>
              <w:t>MSC Cruises SA</w:t>
            </w:r>
          </w:p>
        </w:tc>
        <w:tc>
          <w:tcPr>
            <w:tcW w:w="454" w:type="pct"/>
            <w:tcBorders>
              <w:top w:val="single" w:sz="4" w:space="0" w:color="auto"/>
              <w:left w:val="nil"/>
              <w:bottom w:val="single" w:sz="4" w:space="0" w:color="auto"/>
              <w:right w:val="single" w:sz="4" w:space="0" w:color="auto"/>
            </w:tcBorders>
            <w:shd w:val="clear" w:color="auto" w:fill="auto"/>
          </w:tcPr>
          <w:p w:rsidR="00745826" w:rsidRPr="00965EEC" w:rsidRDefault="00745826" w:rsidP="00FE4DD9">
            <w:pPr>
              <w:jc w:val="center"/>
              <w:rPr>
                <w:rFonts w:eastAsia="Times New Roman" w:cs="Calibri"/>
                <w:color w:val="C00000"/>
              </w:rPr>
            </w:pPr>
            <w:r w:rsidRPr="00471490">
              <w:t>Fornitura di una nave da crociera con prevista consegna nel 2026</w:t>
            </w:r>
          </w:p>
        </w:tc>
        <w:tc>
          <w:tcPr>
            <w:tcW w:w="320" w:type="pct"/>
            <w:tcBorders>
              <w:top w:val="single" w:sz="4" w:space="0" w:color="auto"/>
              <w:left w:val="nil"/>
              <w:bottom w:val="single" w:sz="4" w:space="0" w:color="auto"/>
              <w:right w:val="single" w:sz="4" w:space="0" w:color="auto"/>
            </w:tcBorders>
            <w:shd w:val="clear" w:color="auto" w:fill="auto"/>
            <w:vAlign w:val="center"/>
          </w:tcPr>
          <w:p w:rsidR="00745826" w:rsidRPr="00F227CF" w:rsidRDefault="00745826" w:rsidP="00FE4DD9">
            <w:pPr>
              <w:jc w:val="center"/>
              <w:rPr>
                <w:rFonts w:eastAsia="Times New Roman" w:cs="Calibri"/>
              </w:rPr>
            </w:pPr>
            <w:r w:rsidRPr="00F227CF">
              <w:rPr>
                <w:rFonts w:eastAsia="Times New Roman" w:cs="Calibri"/>
              </w:rPr>
              <w:t>SVIZZERA</w:t>
            </w:r>
          </w:p>
        </w:tc>
        <w:tc>
          <w:tcPr>
            <w:tcW w:w="481" w:type="pct"/>
            <w:tcBorders>
              <w:top w:val="single" w:sz="4" w:space="0" w:color="auto"/>
              <w:left w:val="nil"/>
              <w:bottom w:val="single" w:sz="4" w:space="0" w:color="auto"/>
              <w:right w:val="single" w:sz="4" w:space="0" w:color="auto"/>
            </w:tcBorders>
            <w:shd w:val="clear" w:color="auto" w:fill="auto"/>
            <w:vAlign w:val="center"/>
          </w:tcPr>
          <w:p w:rsidR="00745826" w:rsidRPr="00965EEC" w:rsidRDefault="00745826" w:rsidP="00FE4DD9">
            <w:pPr>
              <w:jc w:val="center"/>
              <w:rPr>
                <w:rFonts w:eastAsia="Times New Roman" w:cs="Calibri"/>
                <w:color w:val="C00000"/>
              </w:rPr>
            </w:pPr>
            <w:r w:rsidRPr="007868B8">
              <w:t>499 mln/euro</w:t>
            </w:r>
          </w:p>
        </w:tc>
        <w:tc>
          <w:tcPr>
            <w:tcW w:w="659" w:type="pct"/>
            <w:tcBorders>
              <w:top w:val="single" w:sz="4" w:space="0" w:color="auto"/>
              <w:left w:val="nil"/>
              <w:bottom w:val="single" w:sz="4" w:space="0" w:color="auto"/>
              <w:right w:val="single" w:sz="4" w:space="0" w:color="auto"/>
            </w:tcBorders>
            <w:shd w:val="clear" w:color="auto" w:fill="auto"/>
            <w:vAlign w:val="center"/>
          </w:tcPr>
          <w:p w:rsidR="00745826" w:rsidRPr="00965EEC" w:rsidRDefault="00745826" w:rsidP="00FE4DD9">
            <w:pPr>
              <w:jc w:val="center"/>
              <w:rPr>
                <w:color w:val="C00000"/>
              </w:rPr>
            </w:pPr>
            <w:r w:rsidRPr="007868B8">
              <w:t>495.093.066</w:t>
            </w:r>
          </w:p>
        </w:tc>
        <w:tc>
          <w:tcPr>
            <w:tcW w:w="336" w:type="pct"/>
            <w:tcBorders>
              <w:top w:val="single" w:sz="4" w:space="0" w:color="auto"/>
              <w:left w:val="nil"/>
              <w:bottom w:val="single" w:sz="4" w:space="0" w:color="auto"/>
              <w:right w:val="single" w:sz="4" w:space="0" w:color="auto"/>
            </w:tcBorders>
            <w:shd w:val="clear" w:color="auto" w:fill="auto"/>
            <w:vAlign w:val="center"/>
          </w:tcPr>
          <w:p w:rsidR="00745826" w:rsidRPr="00965EEC" w:rsidRDefault="00745826" w:rsidP="00FE4DD9">
            <w:pPr>
              <w:jc w:val="center"/>
              <w:rPr>
                <w:rFonts w:eastAsia="Times New Roman" w:cs="Calibri"/>
                <w:color w:val="C00000"/>
              </w:rPr>
            </w:pPr>
            <w:r w:rsidRPr="007868B8">
              <w:t>19</w:t>
            </w:r>
          </w:p>
        </w:tc>
        <w:tc>
          <w:tcPr>
            <w:tcW w:w="474" w:type="pct"/>
            <w:tcBorders>
              <w:top w:val="single" w:sz="4" w:space="0" w:color="auto"/>
              <w:left w:val="nil"/>
              <w:bottom w:val="single" w:sz="4" w:space="0" w:color="auto"/>
              <w:right w:val="single" w:sz="4" w:space="0" w:color="auto"/>
            </w:tcBorders>
            <w:shd w:val="clear" w:color="auto" w:fill="auto"/>
            <w:vAlign w:val="center"/>
          </w:tcPr>
          <w:p w:rsidR="00745826" w:rsidRPr="00965EEC" w:rsidRDefault="00745826" w:rsidP="00FE4DD9">
            <w:pPr>
              <w:jc w:val="center"/>
              <w:rPr>
                <w:rFonts w:eastAsia="Times New Roman" w:cs="Calibri"/>
                <w:color w:val="C00000"/>
              </w:rPr>
            </w:pPr>
            <w:r>
              <w:t>24/06/2019</w:t>
            </w:r>
          </w:p>
        </w:tc>
        <w:tc>
          <w:tcPr>
            <w:tcW w:w="646" w:type="pct"/>
            <w:tcBorders>
              <w:top w:val="single" w:sz="4" w:space="0" w:color="auto"/>
              <w:left w:val="nil"/>
              <w:bottom w:val="single" w:sz="4" w:space="0" w:color="auto"/>
              <w:right w:val="single" w:sz="4" w:space="0" w:color="auto"/>
            </w:tcBorders>
            <w:shd w:val="clear" w:color="auto" w:fill="auto"/>
            <w:vAlign w:val="center"/>
          </w:tcPr>
          <w:p w:rsidR="00745826" w:rsidRPr="00965EEC" w:rsidRDefault="00745826" w:rsidP="00FE4DD9">
            <w:pPr>
              <w:jc w:val="center"/>
              <w:rPr>
                <w:rFonts w:eastAsia="Times New Roman" w:cs="Calibri"/>
                <w:color w:val="C00000"/>
              </w:rPr>
            </w:pPr>
            <w:r w:rsidRPr="007868B8">
              <w:t xml:space="preserve">Controparte </w:t>
            </w:r>
          </w:p>
        </w:tc>
      </w:tr>
      <w:tr w:rsidR="00745826" w:rsidRPr="00000041" w:rsidTr="00FE4DD9">
        <w:trPr>
          <w:trHeight w:val="576"/>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745826" w:rsidRPr="00965EEC" w:rsidRDefault="00745826" w:rsidP="00FE4DD9">
            <w:pPr>
              <w:jc w:val="center"/>
              <w:rPr>
                <w:rFonts w:eastAsia="Times New Roman" w:cs="Calibri"/>
              </w:rPr>
            </w:pPr>
            <w:r w:rsidRPr="00965EEC">
              <w:rPr>
                <w:rFonts w:eastAsia="Times New Roman" w:cs="Calibri"/>
              </w:rPr>
              <w:t xml:space="preserve">2019/0740/00 </w:t>
            </w:r>
          </w:p>
          <w:p w:rsidR="00745826" w:rsidRPr="00965EEC" w:rsidRDefault="00745826" w:rsidP="00FE4DD9">
            <w:pPr>
              <w:jc w:val="center"/>
              <w:rPr>
                <w:rFonts w:eastAsia="Times New Roman" w:cs="Calibri"/>
              </w:rPr>
            </w:pPr>
            <w:r w:rsidRPr="00965EEC">
              <w:rPr>
                <w:rFonts w:eastAsia="Times New Roman" w:cs="Calibri"/>
              </w:rPr>
              <w:t>Istanza n. 5 2019</w:t>
            </w:r>
          </w:p>
        </w:tc>
        <w:tc>
          <w:tcPr>
            <w:tcW w:w="615" w:type="pct"/>
            <w:tcBorders>
              <w:top w:val="single" w:sz="4" w:space="0" w:color="auto"/>
              <w:left w:val="nil"/>
              <w:bottom w:val="single" w:sz="4" w:space="0" w:color="auto"/>
              <w:right w:val="single" w:sz="4" w:space="0" w:color="auto"/>
            </w:tcBorders>
            <w:shd w:val="clear" w:color="auto" w:fill="auto"/>
            <w:vAlign w:val="center"/>
          </w:tcPr>
          <w:p w:rsidR="00745826" w:rsidRPr="00965EEC" w:rsidRDefault="00745826" w:rsidP="00FE4DD9">
            <w:pPr>
              <w:jc w:val="center"/>
              <w:rPr>
                <w:rFonts w:eastAsia="Times New Roman" w:cs="Calibri"/>
              </w:rPr>
            </w:pPr>
            <w:r w:rsidRPr="00965EEC">
              <w:rPr>
                <w:rFonts w:eastAsia="Times New Roman" w:cs="Calibri"/>
              </w:rPr>
              <w:t>FINCANTIERI S.P.A.</w:t>
            </w:r>
          </w:p>
        </w:tc>
        <w:tc>
          <w:tcPr>
            <w:tcW w:w="450" w:type="pct"/>
            <w:tcBorders>
              <w:top w:val="single" w:sz="4" w:space="0" w:color="auto"/>
              <w:left w:val="nil"/>
              <w:bottom w:val="single" w:sz="4" w:space="0" w:color="auto"/>
              <w:right w:val="single" w:sz="4" w:space="0" w:color="auto"/>
            </w:tcBorders>
            <w:shd w:val="clear" w:color="auto" w:fill="auto"/>
            <w:vAlign w:val="center"/>
          </w:tcPr>
          <w:p w:rsidR="00745826" w:rsidRPr="00965EEC" w:rsidRDefault="00745826" w:rsidP="00FE4DD9">
            <w:pPr>
              <w:jc w:val="center"/>
              <w:rPr>
                <w:rFonts w:eastAsia="Times New Roman" w:cs="Calibri"/>
              </w:rPr>
            </w:pPr>
            <w:r w:rsidRPr="00965EEC">
              <w:rPr>
                <w:rFonts w:eastAsia="Times New Roman" w:cs="Calibri"/>
              </w:rPr>
              <w:t>CARNIVAL PLC</w:t>
            </w:r>
          </w:p>
        </w:tc>
        <w:tc>
          <w:tcPr>
            <w:tcW w:w="454" w:type="pct"/>
            <w:tcBorders>
              <w:top w:val="single" w:sz="4" w:space="0" w:color="auto"/>
              <w:left w:val="nil"/>
              <w:bottom w:val="single" w:sz="4" w:space="0" w:color="auto"/>
              <w:right w:val="single" w:sz="4" w:space="0" w:color="auto"/>
            </w:tcBorders>
            <w:shd w:val="clear" w:color="auto" w:fill="auto"/>
          </w:tcPr>
          <w:p w:rsidR="00745826" w:rsidRPr="00965EEC" w:rsidRDefault="00745826" w:rsidP="00FE4DD9">
            <w:pPr>
              <w:jc w:val="center"/>
              <w:rPr>
                <w:rFonts w:eastAsia="Times New Roman" w:cs="Calibri"/>
                <w:color w:val="C00000"/>
              </w:rPr>
            </w:pPr>
            <w:r w:rsidRPr="00471490">
              <w:t>Fornitura di una nave da crociera con prevista consegna nel 2023</w:t>
            </w:r>
          </w:p>
        </w:tc>
        <w:tc>
          <w:tcPr>
            <w:tcW w:w="320" w:type="pct"/>
            <w:tcBorders>
              <w:top w:val="single" w:sz="4" w:space="0" w:color="auto"/>
              <w:left w:val="nil"/>
              <w:bottom w:val="single" w:sz="4" w:space="0" w:color="auto"/>
              <w:right w:val="single" w:sz="4" w:space="0" w:color="auto"/>
            </w:tcBorders>
            <w:shd w:val="clear" w:color="auto" w:fill="auto"/>
            <w:vAlign w:val="center"/>
          </w:tcPr>
          <w:p w:rsidR="00745826" w:rsidRPr="00F227CF" w:rsidRDefault="00745826" w:rsidP="00FE4DD9">
            <w:pPr>
              <w:jc w:val="center"/>
              <w:rPr>
                <w:rFonts w:eastAsia="Times New Roman" w:cs="Calibri"/>
              </w:rPr>
            </w:pPr>
            <w:r w:rsidRPr="00F227CF">
              <w:rPr>
                <w:rFonts w:eastAsia="Times New Roman" w:cs="Calibri"/>
              </w:rPr>
              <w:t>REGNO UNITO</w:t>
            </w:r>
          </w:p>
        </w:tc>
        <w:tc>
          <w:tcPr>
            <w:tcW w:w="481" w:type="pct"/>
            <w:tcBorders>
              <w:top w:val="single" w:sz="4" w:space="0" w:color="auto"/>
              <w:left w:val="nil"/>
              <w:bottom w:val="single" w:sz="4" w:space="0" w:color="auto"/>
              <w:right w:val="single" w:sz="4" w:space="0" w:color="auto"/>
            </w:tcBorders>
            <w:shd w:val="clear" w:color="auto" w:fill="auto"/>
            <w:vAlign w:val="center"/>
          </w:tcPr>
          <w:p w:rsidR="00745826" w:rsidRPr="00965EEC" w:rsidRDefault="00745826" w:rsidP="00FE4DD9">
            <w:pPr>
              <w:jc w:val="center"/>
              <w:rPr>
                <w:rFonts w:eastAsia="Times New Roman" w:cs="Calibri"/>
                <w:color w:val="C00000"/>
              </w:rPr>
            </w:pPr>
            <w:r w:rsidRPr="007868B8">
              <w:t>974,25 mln/euro</w:t>
            </w:r>
          </w:p>
        </w:tc>
        <w:tc>
          <w:tcPr>
            <w:tcW w:w="659" w:type="pct"/>
            <w:tcBorders>
              <w:top w:val="single" w:sz="4" w:space="0" w:color="auto"/>
              <w:left w:val="nil"/>
              <w:bottom w:val="single" w:sz="4" w:space="0" w:color="auto"/>
              <w:right w:val="single" w:sz="4" w:space="0" w:color="auto"/>
            </w:tcBorders>
            <w:shd w:val="clear" w:color="auto" w:fill="auto"/>
            <w:vAlign w:val="center"/>
          </w:tcPr>
          <w:p w:rsidR="00745826" w:rsidRPr="00965EEC" w:rsidRDefault="00745826" w:rsidP="00FE4DD9">
            <w:pPr>
              <w:jc w:val="center"/>
              <w:rPr>
                <w:color w:val="C00000"/>
              </w:rPr>
            </w:pPr>
            <w:r w:rsidRPr="007868B8">
              <w:t>910.810.115</w:t>
            </w:r>
          </w:p>
        </w:tc>
        <w:tc>
          <w:tcPr>
            <w:tcW w:w="336" w:type="pct"/>
            <w:tcBorders>
              <w:top w:val="single" w:sz="4" w:space="0" w:color="auto"/>
              <w:left w:val="nil"/>
              <w:bottom w:val="single" w:sz="4" w:space="0" w:color="auto"/>
              <w:right w:val="single" w:sz="4" w:space="0" w:color="auto"/>
            </w:tcBorders>
            <w:shd w:val="clear" w:color="auto" w:fill="auto"/>
            <w:vAlign w:val="center"/>
          </w:tcPr>
          <w:p w:rsidR="00745826" w:rsidRPr="00965EEC" w:rsidRDefault="00745826" w:rsidP="00FE4DD9">
            <w:pPr>
              <w:jc w:val="center"/>
              <w:rPr>
                <w:rFonts w:eastAsia="Times New Roman" w:cs="Calibri"/>
                <w:color w:val="C00000"/>
              </w:rPr>
            </w:pPr>
            <w:r w:rsidRPr="007868B8">
              <w:t>16,4</w:t>
            </w:r>
          </w:p>
        </w:tc>
        <w:tc>
          <w:tcPr>
            <w:tcW w:w="474" w:type="pct"/>
            <w:tcBorders>
              <w:top w:val="single" w:sz="4" w:space="0" w:color="auto"/>
              <w:left w:val="nil"/>
              <w:bottom w:val="single" w:sz="4" w:space="0" w:color="auto"/>
              <w:right w:val="single" w:sz="4" w:space="0" w:color="auto"/>
            </w:tcBorders>
            <w:shd w:val="clear" w:color="auto" w:fill="auto"/>
            <w:vAlign w:val="center"/>
          </w:tcPr>
          <w:p w:rsidR="00745826" w:rsidRPr="00965EEC" w:rsidRDefault="00745826" w:rsidP="00FE4DD9">
            <w:pPr>
              <w:jc w:val="center"/>
              <w:rPr>
                <w:rFonts w:eastAsia="Times New Roman" w:cs="Calibri"/>
                <w:color w:val="C00000"/>
              </w:rPr>
            </w:pPr>
            <w:r>
              <w:t>24/06/2019</w:t>
            </w:r>
          </w:p>
        </w:tc>
        <w:tc>
          <w:tcPr>
            <w:tcW w:w="646" w:type="pct"/>
            <w:tcBorders>
              <w:top w:val="single" w:sz="4" w:space="0" w:color="auto"/>
              <w:left w:val="nil"/>
              <w:bottom w:val="single" w:sz="4" w:space="0" w:color="auto"/>
              <w:right w:val="single" w:sz="4" w:space="0" w:color="auto"/>
            </w:tcBorders>
            <w:shd w:val="clear" w:color="auto" w:fill="auto"/>
            <w:vAlign w:val="center"/>
          </w:tcPr>
          <w:p w:rsidR="00745826" w:rsidRPr="00965EEC" w:rsidRDefault="00745826" w:rsidP="00FE4DD9">
            <w:pPr>
              <w:jc w:val="center"/>
              <w:rPr>
                <w:rFonts w:eastAsia="Times New Roman" w:cs="Calibri"/>
                <w:color w:val="C00000"/>
              </w:rPr>
            </w:pPr>
            <w:r w:rsidRPr="007868B8">
              <w:t xml:space="preserve">Controparte </w:t>
            </w:r>
          </w:p>
        </w:tc>
      </w:tr>
      <w:tr w:rsidR="00745826" w:rsidRPr="00000041" w:rsidTr="00FE4DD9">
        <w:trPr>
          <w:trHeight w:val="576"/>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745826" w:rsidRPr="00965EEC" w:rsidRDefault="00745826" w:rsidP="00FE4DD9">
            <w:pPr>
              <w:jc w:val="center"/>
              <w:rPr>
                <w:rFonts w:eastAsia="Times New Roman" w:cs="Calibri"/>
              </w:rPr>
            </w:pPr>
            <w:r w:rsidRPr="00965EEC">
              <w:rPr>
                <w:rFonts w:eastAsia="Times New Roman" w:cs="Calibri"/>
              </w:rPr>
              <w:t xml:space="preserve">2019/1039/00 </w:t>
            </w:r>
          </w:p>
          <w:p w:rsidR="00745826" w:rsidRPr="00965EEC" w:rsidRDefault="00745826" w:rsidP="00FE4DD9">
            <w:pPr>
              <w:jc w:val="center"/>
              <w:rPr>
                <w:rFonts w:eastAsia="Times New Roman" w:cs="Calibri"/>
              </w:rPr>
            </w:pPr>
            <w:r w:rsidRPr="00965EEC">
              <w:rPr>
                <w:rFonts w:eastAsia="Times New Roman" w:cs="Calibri"/>
              </w:rPr>
              <w:t>Istanza n. 6 2019</w:t>
            </w:r>
          </w:p>
        </w:tc>
        <w:tc>
          <w:tcPr>
            <w:tcW w:w="615" w:type="pct"/>
            <w:tcBorders>
              <w:top w:val="single" w:sz="4" w:space="0" w:color="auto"/>
              <w:left w:val="nil"/>
              <w:bottom w:val="single" w:sz="4" w:space="0" w:color="auto"/>
              <w:right w:val="single" w:sz="4" w:space="0" w:color="auto"/>
            </w:tcBorders>
            <w:shd w:val="clear" w:color="auto" w:fill="auto"/>
            <w:vAlign w:val="center"/>
          </w:tcPr>
          <w:p w:rsidR="00745826" w:rsidRPr="00965EEC" w:rsidRDefault="00745826" w:rsidP="00FE4DD9">
            <w:pPr>
              <w:jc w:val="center"/>
              <w:rPr>
                <w:rFonts w:eastAsia="Times New Roman" w:cs="Calibri"/>
              </w:rPr>
            </w:pPr>
            <w:r w:rsidRPr="00965EEC">
              <w:rPr>
                <w:rFonts w:eastAsia="Times New Roman" w:cs="Calibri"/>
              </w:rPr>
              <w:t>FINCANTIERI S.P.A.</w:t>
            </w:r>
          </w:p>
        </w:tc>
        <w:tc>
          <w:tcPr>
            <w:tcW w:w="450" w:type="pct"/>
            <w:tcBorders>
              <w:top w:val="single" w:sz="4" w:space="0" w:color="auto"/>
              <w:left w:val="nil"/>
              <w:bottom w:val="single" w:sz="4" w:space="0" w:color="auto"/>
              <w:right w:val="single" w:sz="4" w:space="0" w:color="auto"/>
            </w:tcBorders>
            <w:shd w:val="clear" w:color="auto" w:fill="auto"/>
            <w:vAlign w:val="center"/>
          </w:tcPr>
          <w:p w:rsidR="00745826" w:rsidRPr="00965EEC" w:rsidRDefault="00745826" w:rsidP="00FE4DD9">
            <w:pPr>
              <w:jc w:val="center"/>
              <w:rPr>
                <w:rFonts w:eastAsia="Times New Roman" w:cs="Calibri"/>
              </w:rPr>
            </w:pPr>
            <w:r w:rsidRPr="00965EEC">
              <w:rPr>
                <w:rFonts w:eastAsia="Times New Roman" w:cs="Calibri"/>
              </w:rPr>
              <w:t>MSC Cruises SA</w:t>
            </w:r>
          </w:p>
        </w:tc>
        <w:tc>
          <w:tcPr>
            <w:tcW w:w="454" w:type="pct"/>
            <w:tcBorders>
              <w:top w:val="single" w:sz="4" w:space="0" w:color="auto"/>
              <w:left w:val="nil"/>
              <w:bottom w:val="single" w:sz="4" w:space="0" w:color="auto"/>
              <w:right w:val="single" w:sz="4" w:space="0" w:color="auto"/>
            </w:tcBorders>
            <w:shd w:val="clear" w:color="auto" w:fill="auto"/>
          </w:tcPr>
          <w:p w:rsidR="00745826" w:rsidRPr="00965EEC" w:rsidRDefault="00745826" w:rsidP="00FE4DD9">
            <w:pPr>
              <w:jc w:val="center"/>
              <w:rPr>
                <w:rFonts w:eastAsia="Times New Roman" w:cs="Calibri"/>
                <w:color w:val="C00000"/>
              </w:rPr>
            </w:pPr>
            <w:r>
              <w:t>Allungamento e installa</w:t>
            </w:r>
            <w:r w:rsidRPr="00471490">
              <w:t>z</w:t>
            </w:r>
            <w:r>
              <w:t>i</w:t>
            </w:r>
            <w:r w:rsidRPr="00471490">
              <w:t xml:space="preserve">one </w:t>
            </w:r>
            <w:r w:rsidRPr="00471490">
              <w:lastRenderedPageBreak/>
              <w:t>di scrubber sulla nave da crociera MSC Magnifica</w:t>
            </w:r>
          </w:p>
        </w:tc>
        <w:tc>
          <w:tcPr>
            <w:tcW w:w="320" w:type="pct"/>
            <w:tcBorders>
              <w:top w:val="single" w:sz="4" w:space="0" w:color="auto"/>
              <w:left w:val="nil"/>
              <w:bottom w:val="single" w:sz="4" w:space="0" w:color="auto"/>
              <w:right w:val="single" w:sz="4" w:space="0" w:color="auto"/>
            </w:tcBorders>
            <w:shd w:val="clear" w:color="auto" w:fill="auto"/>
            <w:vAlign w:val="center"/>
          </w:tcPr>
          <w:p w:rsidR="00745826" w:rsidRPr="00F227CF" w:rsidRDefault="00745826" w:rsidP="00FE4DD9">
            <w:pPr>
              <w:jc w:val="center"/>
              <w:rPr>
                <w:rFonts w:eastAsia="Times New Roman" w:cs="Calibri"/>
              </w:rPr>
            </w:pPr>
            <w:r w:rsidRPr="00F227CF">
              <w:rPr>
                <w:rFonts w:eastAsia="Times New Roman" w:cs="Calibri"/>
              </w:rPr>
              <w:lastRenderedPageBreak/>
              <w:t>SVIZZERA</w:t>
            </w:r>
          </w:p>
        </w:tc>
        <w:tc>
          <w:tcPr>
            <w:tcW w:w="481" w:type="pct"/>
            <w:tcBorders>
              <w:top w:val="single" w:sz="4" w:space="0" w:color="auto"/>
              <w:left w:val="nil"/>
              <w:bottom w:val="single" w:sz="4" w:space="0" w:color="auto"/>
              <w:right w:val="single" w:sz="4" w:space="0" w:color="auto"/>
            </w:tcBorders>
            <w:shd w:val="clear" w:color="auto" w:fill="auto"/>
            <w:vAlign w:val="center"/>
          </w:tcPr>
          <w:p w:rsidR="00745826" w:rsidRPr="00965EEC" w:rsidRDefault="00745826" w:rsidP="00FE4DD9">
            <w:pPr>
              <w:jc w:val="center"/>
              <w:rPr>
                <w:rFonts w:eastAsia="Times New Roman" w:cs="Calibri"/>
                <w:color w:val="C00000"/>
              </w:rPr>
            </w:pPr>
            <w:r w:rsidRPr="007868B8">
              <w:t>120 mln/euro</w:t>
            </w:r>
          </w:p>
        </w:tc>
        <w:tc>
          <w:tcPr>
            <w:tcW w:w="659" w:type="pct"/>
            <w:tcBorders>
              <w:top w:val="single" w:sz="4" w:space="0" w:color="auto"/>
              <w:left w:val="nil"/>
              <w:bottom w:val="single" w:sz="4" w:space="0" w:color="auto"/>
              <w:right w:val="single" w:sz="4" w:space="0" w:color="auto"/>
            </w:tcBorders>
            <w:shd w:val="clear" w:color="auto" w:fill="auto"/>
            <w:vAlign w:val="center"/>
          </w:tcPr>
          <w:p w:rsidR="00745826" w:rsidRPr="00965EEC" w:rsidRDefault="00745826" w:rsidP="00FE4DD9">
            <w:pPr>
              <w:jc w:val="center"/>
              <w:rPr>
                <w:color w:val="C00000"/>
              </w:rPr>
            </w:pPr>
            <w:r>
              <w:t>120.048.112</w:t>
            </w:r>
          </w:p>
        </w:tc>
        <w:tc>
          <w:tcPr>
            <w:tcW w:w="336" w:type="pct"/>
            <w:tcBorders>
              <w:top w:val="single" w:sz="4" w:space="0" w:color="auto"/>
              <w:left w:val="nil"/>
              <w:bottom w:val="single" w:sz="4" w:space="0" w:color="auto"/>
              <w:right w:val="single" w:sz="4" w:space="0" w:color="auto"/>
            </w:tcBorders>
            <w:shd w:val="clear" w:color="auto" w:fill="auto"/>
            <w:vAlign w:val="center"/>
          </w:tcPr>
          <w:p w:rsidR="00745826" w:rsidRPr="00965EEC" w:rsidRDefault="00745826" w:rsidP="00FE4DD9">
            <w:pPr>
              <w:jc w:val="center"/>
              <w:rPr>
                <w:rFonts w:eastAsia="Times New Roman" w:cs="Calibri"/>
                <w:color w:val="C00000"/>
              </w:rPr>
            </w:pPr>
            <w:r>
              <w:t>10,5</w:t>
            </w:r>
          </w:p>
        </w:tc>
        <w:tc>
          <w:tcPr>
            <w:tcW w:w="474" w:type="pct"/>
            <w:tcBorders>
              <w:top w:val="single" w:sz="4" w:space="0" w:color="auto"/>
              <w:left w:val="nil"/>
              <w:bottom w:val="single" w:sz="4" w:space="0" w:color="auto"/>
              <w:right w:val="single" w:sz="4" w:space="0" w:color="auto"/>
            </w:tcBorders>
            <w:shd w:val="clear" w:color="auto" w:fill="auto"/>
            <w:vAlign w:val="center"/>
          </w:tcPr>
          <w:p w:rsidR="00745826" w:rsidRPr="00965EEC" w:rsidRDefault="00745826" w:rsidP="00FE4DD9">
            <w:pPr>
              <w:jc w:val="center"/>
              <w:rPr>
                <w:rFonts w:eastAsia="Times New Roman" w:cs="Calibri"/>
                <w:color w:val="C00000"/>
              </w:rPr>
            </w:pPr>
            <w:r>
              <w:t>24/06/2019</w:t>
            </w:r>
          </w:p>
        </w:tc>
        <w:tc>
          <w:tcPr>
            <w:tcW w:w="646" w:type="pct"/>
            <w:tcBorders>
              <w:top w:val="single" w:sz="4" w:space="0" w:color="auto"/>
              <w:left w:val="nil"/>
              <w:bottom w:val="single" w:sz="4" w:space="0" w:color="auto"/>
              <w:right w:val="single" w:sz="4" w:space="0" w:color="auto"/>
            </w:tcBorders>
            <w:shd w:val="clear" w:color="auto" w:fill="auto"/>
            <w:vAlign w:val="center"/>
          </w:tcPr>
          <w:p w:rsidR="00745826" w:rsidRPr="00965EEC" w:rsidRDefault="00745826" w:rsidP="00FE4DD9">
            <w:pPr>
              <w:jc w:val="center"/>
              <w:rPr>
                <w:rFonts w:eastAsia="Times New Roman" w:cs="Calibri"/>
                <w:color w:val="C00000"/>
              </w:rPr>
            </w:pPr>
            <w:r w:rsidRPr="007868B8">
              <w:t xml:space="preserve">Controparte </w:t>
            </w:r>
          </w:p>
        </w:tc>
      </w:tr>
    </w:tbl>
    <w:p w:rsidR="00745826" w:rsidRDefault="00745826" w:rsidP="00745826"/>
    <w:p w:rsidR="00745826" w:rsidRDefault="00745826" w:rsidP="00745826">
      <w:pPr>
        <w:rPr>
          <w:b/>
          <w:sz w:val="28"/>
          <w:szCs w:val="28"/>
        </w:rPr>
      </w:pPr>
    </w:p>
    <w:p w:rsidR="00745826" w:rsidRDefault="00745826" w:rsidP="00745826">
      <w:pPr>
        <w:rPr>
          <w:b/>
          <w:sz w:val="28"/>
          <w:szCs w:val="28"/>
        </w:rPr>
      </w:pPr>
    </w:p>
    <w:p w:rsidR="00745826" w:rsidRDefault="00745826" w:rsidP="00745826">
      <w:pPr>
        <w:rPr>
          <w:b/>
          <w:sz w:val="28"/>
          <w:szCs w:val="28"/>
        </w:rPr>
      </w:pPr>
    </w:p>
    <w:p w:rsidR="00745826" w:rsidRDefault="00745826" w:rsidP="00745826">
      <w:pPr>
        <w:rPr>
          <w:b/>
          <w:sz w:val="28"/>
          <w:szCs w:val="28"/>
        </w:rPr>
      </w:pPr>
    </w:p>
    <w:p w:rsidR="00745826" w:rsidRDefault="00745826" w:rsidP="00745826">
      <w:pPr>
        <w:rPr>
          <w:b/>
          <w:sz w:val="28"/>
          <w:szCs w:val="28"/>
        </w:rPr>
      </w:pPr>
    </w:p>
    <w:p w:rsidR="00745826" w:rsidRDefault="00745826" w:rsidP="00745826">
      <w:pPr>
        <w:rPr>
          <w:b/>
          <w:sz w:val="28"/>
          <w:szCs w:val="28"/>
        </w:rPr>
      </w:pPr>
    </w:p>
    <w:p w:rsidR="00745826" w:rsidRDefault="00745826" w:rsidP="00745826">
      <w:pPr>
        <w:rPr>
          <w:b/>
          <w:sz w:val="28"/>
          <w:szCs w:val="28"/>
        </w:rPr>
      </w:pPr>
    </w:p>
    <w:p w:rsidR="00745826" w:rsidRDefault="00745826" w:rsidP="00745826">
      <w:pPr>
        <w:rPr>
          <w:b/>
          <w:sz w:val="28"/>
          <w:szCs w:val="28"/>
        </w:rPr>
      </w:pPr>
    </w:p>
    <w:p w:rsidR="00745826" w:rsidRDefault="00745826" w:rsidP="00745826">
      <w:pPr>
        <w:rPr>
          <w:b/>
          <w:sz w:val="28"/>
          <w:szCs w:val="28"/>
        </w:rPr>
      </w:pPr>
    </w:p>
    <w:p w:rsidR="00745826" w:rsidRDefault="00745826" w:rsidP="00745826">
      <w:pPr>
        <w:rPr>
          <w:b/>
          <w:sz w:val="28"/>
          <w:szCs w:val="28"/>
        </w:rPr>
      </w:pPr>
    </w:p>
    <w:p w:rsidR="00745826" w:rsidRDefault="00745826" w:rsidP="00745826">
      <w:pPr>
        <w:rPr>
          <w:b/>
          <w:sz w:val="28"/>
          <w:szCs w:val="28"/>
        </w:rPr>
      </w:pPr>
    </w:p>
    <w:p w:rsidR="00745826" w:rsidRDefault="00745826" w:rsidP="00745826">
      <w:pPr>
        <w:rPr>
          <w:b/>
          <w:sz w:val="28"/>
          <w:szCs w:val="28"/>
        </w:rPr>
      </w:pPr>
    </w:p>
    <w:p w:rsidR="00745826" w:rsidRDefault="00745826" w:rsidP="00745826">
      <w:pPr>
        <w:rPr>
          <w:b/>
          <w:sz w:val="28"/>
          <w:szCs w:val="28"/>
        </w:rPr>
      </w:pPr>
    </w:p>
    <w:p w:rsidR="00745826" w:rsidRDefault="00745826" w:rsidP="00745826">
      <w:pPr>
        <w:rPr>
          <w:b/>
          <w:sz w:val="28"/>
          <w:szCs w:val="28"/>
        </w:rPr>
      </w:pPr>
    </w:p>
    <w:p w:rsidR="00745826" w:rsidRDefault="00745826" w:rsidP="00745826">
      <w:pPr>
        <w:rPr>
          <w:b/>
          <w:sz w:val="28"/>
          <w:szCs w:val="28"/>
        </w:rPr>
      </w:pPr>
      <w:r>
        <w:rPr>
          <w:b/>
          <w:sz w:val="28"/>
          <w:szCs w:val="28"/>
        </w:rPr>
        <w:lastRenderedPageBreak/>
        <w:t>2) O</w:t>
      </w:r>
      <w:r w:rsidRPr="00C01885">
        <w:rPr>
          <w:b/>
          <w:sz w:val="28"/>
          <w:szCs w:val="28"/>
        </w:rPr>
        <w:t xml:space="preserve">perazioni di cui al punto </w:t>
      </w:r>
      <w:r>
        <w:rPr>
          <w:b/>
          <w:sz w:val="28"/>
          <w:szCs w:val="28"/>
        </w:rPr>
        <w:t>b) dell’articolo 2, comma 4</w:t>
      </w:r>
    </w:p>
    <w:tbl>
      <w:tblPr>
        <w:tblW w:w="5000" w:type="pct"/>
        <w:tblCellMar>
          <w:left w:w="70" w:type="dxa"/>
          <w:right w:w="70" w:type="dxa"/>
        </w:tblCellMar>
        <w:tblLook w:val="04A0" w:firstRow="1" w:lastRow="0" w:firstColumn="1" w:lastColumn="0" w:noHBand="0" w:noVBand="1"/>
      </w:tblPr>
      <w:tblGrid>
        <w:gridCol w:w="1531"/>
        <w:gridCol w:w="1671"/>
        <w:gridCol w:w="1209"/>
        <w:gridCol w:w="1221"/>
        <w:gridCol w:w="1341"/>
        <w:gridCol w:w="1297"/>
        <w:gridCol w:w="1795"/>
        <w:gridCol w:w="891"/>
        <w:gridCol w:w="1277"/>
        <w:gridCol w:w="1759"/>
      </w:tblGrid>
      <w:tr w:rsidR="00745826" w:rsidRPr="00000041" w:rsidTr="00FE4DD9">
        <w:trPr>
          <w:trHeight w:val="576"/>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745826" w:rsidRDefault="00745826" w:rsidP="00FE4DD9">
            <w:pPr>
              <w:jc w:val="center"/>
              <w:rPr>
                <w:rFonts w:eastAsia="Times New Roman" w:cs="Calibri"/>
              </w:rPr>
            </w:pPr>
            <w:r>
              <w:rPr>
                <w:rFonts w:eastAsia="Times New Roman" w:cs="Calibri"/>
              </w:rPr>
              <w:t xml:space="preserve">2019/0699/00 </w:t>
            </w:r>
          </w:p>
          <w:p w:rsidR="00745826" w:rsidRDefault="00745826" w:rsidP="00FE4DD9">
            <w:pPr>
              <w:jc w:val="center"/>
              <w:rPr>
                <w:rFonts w:eastAsia="Times New Roman" w:cs="Calibri"/>
              </w:rPr>
            </w:pPr>
            <w:r>
              <w:rPr>
                <w:rFonts w:eastAsia="Times New Roman" w:cs="Calibri"/>
              </w:rPr>
              <w:t>Istanza n. 7 2019</w:t>
            </w:r>
          </w:p>
        </w:tc>
        <w:tc>
          <w:tcPr>
            <w:tcW w:w="615" w:type="pct"/>
            <w:tcBorders>
              <w:top w:val="single" w:sz="4" w:space="0" w:color="auto"/>
              <w:left w:val="nil"/>
              <w:bottom w:val="single" w:sz="4" w:space="0" w:color="auto"/>
              <w:right w:val="single" w:sz="4" w:space="0" w:color="auto"/>
            </w:tcBorders>
            <w:shd w:val="clear" w:color="auto" w:fill="auto"/>
            <w:vAlign w:val="center"/>
          </w:tcPr>
          <w:p w:rsidR="00745826" w:rsidRPr="00000041" w:rsidRDefault="00745826" w:rsidP="00FE4DD9">
            <w:pPr>
              <w:jc w:val="center"/>
              <w:rPr>
                <w:rFonts w:eastAsia="Times New Roman" w:cs="Calibri"/>
              </w:rPr>
            </w:pPr>
            <w:r w:rsidRPr="00000041">
              <w:rPr>
                <w:rFonts w:eastAsia="Times New Roman" w:cs="Calibri"/>
              </w:rPr>
              <w:t>FINCANTIERI S.P.A.</w:t>
            </w:r>
          </w:p>
        </w:tc>
        <w:tc>
          <w:tcPr>
            <w:tcW w:w="450" w:type="pct"/>
            <w:tcBorders>
              <w:top w:val="single" w:sz="4" w:space="0" w:color="auto"/>
              <w:left w:val="nil"/>
              <w:bottom w:val="single" w:sz="4" w:space="0" w:color="auto"/>
              <w:right w:val="single" w:sz="4" w:space="0" w:color="auto"/>
            </w:tcBorders>
            <w:shd w:val="clear" w:color="auto" w:fill="auto"/>
            <w:vAlign w:val="center"/>
          </w:tcPr>
          <w:p w:rsidR="00745826" w:rsidRPr="006D6572" w:rsidRDefault="00745826" w:rsidP="00FE4DD9">
            <w:pPr>
              <w:jc w:val="center"/>
              <w:rPr>
                <w:rFonts w:eastAsia="Times New Roman" w:cs="Calibri"/>
              </w:rPr>
            </w:pPr>
            <w:r w:rsidRPr="00364D60">
              <w:rPr>
                <w:rFonts w:eastAsia="Times New Roman" w:cs="Calibri"/>
              </w:rPr>
              <w:t>Viking Cruises Ltd</w:t>
            </w:r>
          </w:p>
        </w:tc>
        <w:tc>
          <w:tcPr>
            <w:tcW w:w="454" w:type="pct"/>
            <w:tcBorders>
              <w:top w:val="single" w:sz="4" w:space="0" w:color="auto"/>
              <w:left w:val="nil"/>
              <w:bottom w:val="single" w:sz="4" w:space="0" w:color="auto"/>
              <w:right w:val="single" w:sz="4" w:space="0" w:color="auto"/>
            </w:tcBorders>
            <w:shd w:val="clear" w:color="auto" w:fill="auto"/>
            <w:vAlign w:val="center"/>
          </w:tcPr>
          <w:p w:rsidR="00745826" w:rsidRPr="00000041" w:rsidRDefault="00745826" w:rsidP="00FE4DD9">
            <w:pPr>
              <w:jc w:val="center"/>
              <w:rPr>
                <w:rFonts w:eastAsia="Times New Roman" w:cs="Calibri"/>
              </w:rPr>
            </w:pPr>
            <w:r w:rsidRPr="00000041">
              <w:rPr>
                <w:rFonts w:eastAsia="Times New Roman" w:cs="Calibri"/>
              </w:rPr>
              <w:t>Fornitura di una nave da crocier</w:t>
            </w:r>
            <w:r>
              <w:rPr>
                <w:rFonts w:eastAsia="Times New Roman" w:cs="Calibri"/>
              </w:rPr>
              <w:t>a con prevista consegna nel 2024</w:t>
            </w:r>
          </w:p>
        </w:tc>
        <w:tc>
          <w:tcPr>
            <w:tcW w:w="320" w:type="pct"/>
            <w:tcBorders>
              <w:top w:val="single" w:sz="4" w:space="0" w:color="auto"/>
              <w:left w:val="nil"/>
              <w:bottom w:val="single" w:sz="4" w:space="0" w:color="auto"/>
              <w:right w:val="single" w:sz="4" w:space="0" w:color="auto"/>
            </w:tcBorders>
            <w:shd w:val="clear" w:color="auto" w:fill="auto"/>
            <w:vAlign w:val="center"/>
          </w:tcPr>
          <w:p w:rsidR="00745826" w:rsidRPr="006D6572" w:rsidRDefault="00745826" w:rsidP="00FE4DD9">
            <w:pPr>
              <w:jc w:val="center"/>
              <w:rPr>
                <w:rFonts w:eastAsia="Times New Roman" w:cs="Calibri"/>
              </w:rPr>
            </w:pPr>
            <w:r>
              <w:rPr>
                <w:rFonts w:eastAsia="Times New Roman" w:cs="Calibri"/>
              </w:rPr>
              <w:t>BERMUDA</w:t>
            </w:r>
          </w:p>
        </w:tc>
        <w:tc>
          <w:tcPr>
            <w:tcW w:w="481" w:type="pct"/>
            <w:tcBorders>
              <w:top w:val="single" w:sz="4" w:space="0" w:color="auto"/>
              <w:left w:val="nil"/>
              <w:bottom w:val="single" w:sz="4" w:space="0" w:color="auto"/>
              <w:right w:val="single" w:sz="4" w:space="0" w:color="auto"/>
            </w:tcBorders>
            <w:shd w:val="clear" w:color="auto" w:fill="auto"/>
            <w:vAlign w:val="center"/>
          </w:tcPr>
          <w:p w:rsidR="00745826" w:rsidRDefault="00745826" w:rsidP="00FE4DD9">
            <w:pPr>
              <w:jc w:val="center"/>
              <w:rPr>
                <w:rFonts w:eastAsia="Times New Roman" w:cs="Calibri"/>
              </w:rPr>
            </w:pPr>
            <w:r>
              <w:rPr>
                <w:rFonts w:eastAsia="Times New Roman" w:cs="Calibri"/>
              </w:rPr>
              <w:t>372,8 mln/euro</w:t>
            </w:r>
          </w:p>
        </w:tc>
        <w:tc>
          <w:tcPr>
            <w:tcW w:w="659" w:type="pct"/>
            <w:tcBorders>
              <w:top w:val="single" w:sz="4" w:space="0" w:color="auto"/>
              <w:left w:val="nil"/>
              <w:bottom w:val="single" w:sz="4" w:space="0" w:color="auto"/>
              <w:right w:val="single" w:sz="4" w:space="0" w:color="auto"/>
            </w:tcBorders>
            <w:shd w:val="clear" w:color="auto" w:fill="auto"/>
            <w:vAlign w:val="center"/>
          </w:tcPr>
          <w:p w:rsidR="00745826" w:rsidRPr="00F745DC" w:rsidRDefault="00745826" w:rsidP="00FE4DD9">
            <w:pPr>
              <w:jc w:val="center"/>
            </w:pPr>
            <w:r w:rsidRPr="00364D60">
              <w:t>408.373.117,99</w:t>
            </w:r>
          </w:p>
        </w:tc>
        <w:tc>
          <w:tcPr>
            <w:tcW w:w="336" w:type="pct"/>
            <w:tcBorders>
              <w:top w:val="single" w:sz="4" w:space="0" w:color="auto"/>
              <w:left w:val="nil"/>
              <w:bottom w:val="single" w:sz="4" w:space="0" w:color="auto"/>
              <w:right w:val="single" w:sz="4" w:space="0" w:color="auto"/>
            </w:tcBorders>
            <w:shd w:val="clear" w:color="auto" w:fill="auto"/>
            <w:vAlign w:val="center"/>
          </w:tcPr>
          <w:p w:rsidR="00745826" w:rsidRDefault="00745826" w:rsidP="00FE4DD9">
            <w:pPr>
              <w:jc w:val="center"/>
              <w:rPr>
                <w:rFonts w:eastAsia="Times New Roman" w:cs="Calibri"/>
              </w:rPr>
            </w:pPr>
            <w:r>
              <w:rPr>
                <w:rFonts w:eastAsia="Times New Roman" w:cs="Calibri"/>
              </w:rPr>
              <w:t>17 anni – 5 mesi</w:t>
            </w:r>
          </w:p>
        </w:tc>
        <w:tc>
          <w:tcPr>
            <w:tcW w:w="474" w:type="pct"/>
            <w:tcBorders>
              <w:top w:val="single" w:sz="4" w:space="0" w:color="auto"/>
              <w:left w:val="nil"/>
              <w:bottom w:val="single" w:sz="4" w:space="0" w:color="auto"/>
              <w:right w:val="single" w:sz="4" w:space="0" w:color="auto"/>
            </w:tcBorders>
            <w:shd w:val="clear" w:color="auto" w:fill="auto"/>
            <w:vAlign w:val="center"/>
          </w:tcPr>
          <w:p w:rsidR="00745826" w:rsidRDefault="00745826" w:rsidP="00FE4DD9">
            <w:pPr>
              <w:jc w:val="center"/>
              <w:rPr>
                <w:rFonts w:eastAsia="Times New Roman" w:cs="Calibri"/>
              </w:rPr>
            </w:pPr>
            <w:r>
              <w:rPr>
                <w:rFonts w:eastAsia="Times New Roman" w:cs="Calibri"/>
              </w:rPr>
              <w:t>30/09/2019</w:t>
            </w:r>
          </w:p>
        </w:tc>
        <w:tc>
          <w:tcPr>
            <w:tcW w:w="646" w:type="pct"/>
            <w:tcBorders>
              <w:top w:val="single" w:sz="4" w:space="0" w:color="auto"/>
              <w:left w:val="nil"/>
              <w:bottom w:val="single" w:sz="4" w:space="0" w:color="auto"/>
              <w:right w:val="single" w:sz="4" w:space="0" w:color="auto"/>
            </w:tcBorders>
            <w:shd w:val="clear" w:color="auto" w:fill="auto"/>
            <w:vAlign w:val="center"/>
          </w:tcPr>
          <w:p w:rsidR="00745826" w:rsidRPr="00000041" w:rsidRDefault="00745826" w:rsidP="00FE4DD9">
            <w:pPr>
              <w:jc w:val="center"/>
              <w:rPr>
                <w:rFonts w:eastAsia="Times New Roman" w:cs="Calibri"/>
              </w:rPr>
            </w:pPr>
            <w:r>
              <w:rPr>
                <w:rFonts w:eastAsia="Times New Roman" w:cs="Calibri"/>
              </w:rPr>
              <w:t>Settore</w:t>
            </w:r>
          </w:p>
        </w:tc>
      </w:tr>
      <w:tr w:rsidR="00745826" w:rsidRPr="00000041" w:rsidTr="00FE4DD9">
        <w:trPr>
          <w:trHeight w:val="576"/>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745826" w:rsidRDefault="00745826" w:rsidP="00FE4DD9">
            <w:pPr>
              <w:jc w:val="center"/>
              <w:rPr>
                <w:rFonts w:eastAsia="Times New Roman" w:cs="Calibri"/>
              </w:rPr>
            </w:pPr>
            <w:r>
              <w:rPr>
                <w:rFonts w:eastAsia="Times New Roman" w:cs="Calibri"/>
              </w:rPr>
              <w:t xml:space="preserve">2019/0700/00 </w:t>
            </w:r>
          </w:p>
          <w:p w:rsidR="00745826" w:rsidRDefault="00745826" w:rsidP="00FE4DD9">
            <w:pPr>
              <w:jc w:val="center"/>
              <w:rPr>
                <w:rFonts w:eastAsia="Times New Roman" w:cs="Calibri"/>
              </w:rPr>
            </w:pPr>
            <w:r>
              <w:rPr>
                <w:rFonts w:eastAsia="Times New Roman" w:cs="Calibri"/>
              </w:rPr>
              <w:t>Istanza n. 8 2019</w:t>
            </w:r>
          </w:p>
        </w:tc>
        <w:tc>
          <w:tcPr>
            <w:tcW w:w="615" w:type="pct"/>
            <w:tcBorders>
              <w:top w:val="single" w:sz="4" w:space="0" w:color="auto"/>
              <w:left w:val="nil"/>
              <w:bottom w:val="single" w:sz="4" w:space="0" w:color="auto"/>
              <w:right w:val="single" w:sz="4" w:space="0" w:color="auto"/>
            </w:tcBorders>
            <w:shd w:val="clear" w:color="auto" w:fill="auto"/>
            <w:vAlign w:val="center"/>
          </w:tcPr>
          <w:p w:rsidR="00745826" w:rsidRPr="00000041" w:rsidRDefault="00745826" w:rsidP="00FE4DD9">
            <w:pPr>
              <w:jc w:val="center"/>
              <w:rPr>
                <w:rFonts w:eastAsia="Times New Roman" w:cs="Calibri"/>
              </w:rPr>
            </w:pPr>
            <w:r w:rsidRPr="00000041">
              <w:rPr>
                <w:rFonts w:eastAsia="Times New Roman" w:cs="Calibri"/>
              </w:rPr>
              <w:t>FINCANTIERI S.P.A.</w:t>
            </w:r>
          </w:p>
        </w:tc>
        <w:tc>
          <w:tcPr>
            <w:tcW w:w="450" w:type="pct"/>
            <w:tcBorders>
              <w:top w:val="single" w:sz="4" w:space="0" w:color="auto"/>
              <w:left w:val="nil"/>
              <w:bottom w:val="single" w:sz="4" w:space="0" w:color="auto"/>
              <w:right w:val="single" w:sz="4" w:space="0" w:color="auto"/>
            </w:tcBorders>
            <w:shd w:val="clear" w:color="auto" w:fill="auto"/>
            <w:vAlign w:val="center"/>
          </w:tcPr>
          <w:p w:rsidR="00745826" w:rsidRPr="006D6572" w:rsidRDefault="00745826" w:rsidP="00FE4DD9">
            <w:pPr>
              <w:jc w:val="center"/>
              <w:rPr>
                <w:rFonts w:eastAsia="Times New Roman" w:cs="Calibri"/>
              </w:rPr>
            </w:pPr>
            <w:r w:rsidRPr="00364D60">
              <w:rPr>
                <w:rFonts w:eastAsia="Times New Roman" w:cs="Calibri"/>
              </w:rPr>
              <w:t>Viking Cruises Ltd</w:t>
            </w:r>
          </w:p>
        </w:tc>
        <w:tc>
          <w:tcPr>
            <w:tcW w:w="454" w:type="pct"/>
            <w:tcBorders>
              <w:top w:val="single" w:sz="4" w:space="0" w:color="auto"/>
              <w:left w:val="nil"/>
              <w:bottom w:val="single" w:sz="4" w:space="0" w:color="auto"/>
              <w:right w:val="single" w:sz="4" w:space="0" w:color="auto"/>
            </w:tcBorders>
            <w:shd w:val="clear" w:color="auto" w:fill="auto"/>
            <w:vAlign w:val="center"/>
          </w:tcPr>
          <w:p w:rsidR="00745826" w:rsidRPr="00000041" w:rsidRDefault="00745826" w:rsidP="00FE4DD9">
            <w:pPr>
              <w:jc w:val="center"/>
              <w:rPr>
                <w:rFonts w:eastAsia="Times New Roman" w:cs="Calibri"/>
              </w:rPr>
            </w:pPr>
            <w:r w:rsidRPr="00000041">
              <w:rPr>
                <w:rFonts w:eastAsia="Times New Roman" w:cs="Calibri"/>
              </w:rPr>
              <w:t>Fornitura di una nave da crocier</w:t>
            </w:r>
            <w:r>
              <w:rPr>
                <w:rFonts w:eastAsia="Times New Roman" w:cs="Calibri"/>
              </w:rPr>
              <w:t>a con prevista consegna nel 2025</w:t>
            </w:r>
          </w:p>
        </w:tc>
        <w:tc>
          <w:tcPr>
            <w:tcW w:w="320" w:type="pct"/>
            <w:tcBorders>
              <w:top w:val="single" w:sz="4" w:space="0" w:color="auto"/>
              <w:left w:val="nil"/>
              <w:bottom w:val="single" w:sz="4" w:space="0" w:color="auto"/>
              <w:right w:val="single" w:sz="4" w:space="0" w:color="auto"/>
            </w:tcBorders>
            <w:shd w:val="clear" w:color="auto" w:fill="auto"/>
            <w:vAlign w:val="center"/>
          </w:tcPr>
          <w:p w:rsidR="00745826" w:rsidRPr="006D6572" w:rsidRDefault="00745826" w:rsidP="00FE4DD9">
            <w:pPr>
              <w:jc w:val="center"/>
              <w:rPr>
                <w:rFonts w:eastAsia="Times New Roman" w:cs="Calibri"/>
              </w:rPr>
            </w:pPr>
            <w:r>
              <w:rPr>
                <w:rFonts w:eastAsia="Times New Roman" w:cs="Calibri"/>
              </w:rPr>
              <w:t>BERMUDA</w:t>
            </w:r>
          </w:p>
        </w:tc>
        <w:tc>
          <w:tcPr>
            <w:tcW w:w="481" w:type="pct"/>
            <w:tcBorders>
              <w:top w:val="single" w:sz="4" w:space="0" w:color="auto"/>
              <w:left w:val="nil"/>
              <w:bottom w:val="single" w:sz="4" w:space="0" w:color="auto"/>
              <w:right w:val="single" w:sz="4" w:space="0" w:color="auto"/>
            </w:tcBorders>
            <w:shd w:val="clear" w:color="auto" w:fill="auto"/>
            <w:vAlign w:val="center"/>
          </w:tcPr>
          <w:p w:rsidR="00745826" w:rsidRDefault="00745826" w:rsidP="00FE4DD9">
            <w:pPr>
              <w:jc w:val="center"/>
              <w:rPr>
                <w:rFonts w:eastAsia="Times New Roman" w:cs="Calibri"/>
              </w:rPr>
            </w:pPr>
            <w:r>
              <w:rPr>
                <w:rFonts w:eastAsia="Times New Roman" w:cs="Calibri"/>
              </w:rPr>
              <w:t>372,8 mln/euro</w:t>
            </w:r>
          </w:p>
        </w:tc>
        <w:tc>
          <w:tcPr>
            <w:tcW w:w="659" w:type="pct"/>
            <w:tcBorders>
              <w:top w:val="single" w:sz="4" w:space="0" w:color="auto"/>
              <w:left w:val="nil"/>
              <w:bottom w:val="single" w:sz="4" w:space="0" w:color="auto"/>
              <w:right w:val="single" w:sz="4" w:space="0" w:color="auto"/>
            </w:tcBorders>
            <w:shd w:val="clear" w:color="auto" w:fill="auto"/>
            <w:vAlign w:val="center"/>
          </w:tcPr>
          <w:p w:rsidR="00745826" w:rsidRPr="00F745DC" w:rsidRDefault="00745826" w:rsidP="00FE4DD9">
            <w:pPr>
              <w:jc w:val="center"/>
            </w:pPr>
            <w:r w:rsidRPr="00364D60">
              <w:t>408.383.099,00</w:t>
            </w:r>
          </w:p>
        </w:tc>
        <w:tc>
          <w:tcPr>
            <w:tcW w:w="336" w:type="pct"/>
            <w:tcBorders>
              <w:top w:val="single" w:sz="4" w:space="0" w:color="auto"/>
              <w:left w:val="nil"/>
              <w:bottom w:val="single" w:sz="4" w:space="0" w:color="auto"/>
              <w:right w:val="single" w:sz="4" w:space="0" w:color="auto"/>
            </w:tcBorders>
            <w:shd w:val="clear" w:color="auto" w:fill="auto"/>
            <w:vAlign w:val="center"/>
          </w:tcPr>
          <w:p w:rsidR="00745826" w:rsidRDefault="00745826" w:rsidP="00FE4DD9">
            <w:pPr>
              <w:jc w:val="center"/>
              <w:rPr>
                <w:rFonts w:eastAsia="Times New Roman" w:cs="Calibri"/>
              </w:rPr>
            </w:pPr>
            <w:r>
              <w:rPr>
                <w:rFonts w:eastAsia="Times New Roman" w:cs="Calibri"/>
              </w:rPr>
              <w:t>18 anni</w:t>
            </w:r>
          </w:p>
        </w:tc>
        <w:tc>
          <w:tcPr>
            <w:tcW w:w="474" w:type="pct"/>
            <w:tcBorders>
              <w:top w:val="single" w:sz="4" w:space="0" w:color="auto"/>
              <w:left w:val="nil"/>
              <w:bottom w:val="single" w:sz="4" w:space="0" w:color="auto"/>
              <w:right w:val="single" w:sz="4" w:space="0" w:color="auto"/>
            </w:tcBorders>
            <w:shd w:val="clear" w:color="auto" w:fill="auto"/>
            <w:vAlign w:val="center"/>
          </w:tcPr>
          <w:p w:rsidR="00745826" w:rsidRDefault="00745826" w:rsidP="00FE4DD9">
            <w:pPr>
              <w:jc w:val="center"/>
              <w:rPr>
                <w:rFonts w:eastAsia="Times New Roman" w:cs="Calibri"/>
              </w:rPr>
            </w:pPr>
            <w:r>
              <w:rPr>
                <w:rFonts w:eastAsia="Times New Roman" w:cs="Calibri"/>
              </w:rPr>
              <w:t>30/09/2019</w:t>
            </w:r>
          </w:p>
        </w:tc>
        <w:tc>
          <w:tcPr>
            <w:tcW w:w="646" w:type="pct"/>
            <w:tcBorders>
              <w:top w:val="single" w:sz="4" w:space="0" w:color="auto"/>
              <w:left w:val="nil"/>
              <w:bottom w:val="single" w:sz="4" w:space="0" w:color="auto"/>
              <w:right w:val="single" w:sz="4" w:space="0" w:color="auto"/>
            </w:tcBorders>
            <w:shd w:val="clear" w:color="auto" w:fill="auto"/>
            <w:vAlign w:val="center"/>
          </w:tcPr>
          <w:p w:rsidR="00745826" w:rsidRPr="00000041" w:rsidRDefault="00745826" w:rsidP="00FE4DD9">
            <w:pPr>
              <w:jc w:val="center"/>
              <w:rPr>
                <w:rFonts w:eastAsia="Times New Roman" w:cs="Calibri"/>
              </w:rPr>
            </w:pPr>
            <w:r>
              <w:rPr>
                <w:rFonts w:eastAsia="Times New Roman" w:cs="Calibri"/>
              </w:rPr>
              <w:t>Settore</w:t>
            </w:r>
          </w:p>
        </w:tc>
      </w:tr>
      <w:tr w:rsidR="00745826" w:rsidRPr="00000041" w:rsidTr="00FE4DD9">
        <w:trPr>
          <w:trHeight w:val="576"/>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745826" w:rsidRDefault="00745826" w:rsidP="00FE4DD9">
            <w:pPr>
              <w:jc w:val="center"/>
              <w:rPr>
                <w:rFonts w:eastAsia="Times New Roman" w:cs="Calibri"/>
              </w:rPr>
            </w:pPr>
            <w:r>
              <w:rPr>
                <w:rFonts w:eastAsia="Times New Roman" w:cs="Calibri"/>
              </w:rPr>
              <w:t xml:space="preserve">2019/1644/00 </w:t>
            </w:r>
          </w:p>
          <w:p w:rsidR="00745826" w:rsidRDefault="00745826" w:rsidP="00FE4DD9">
            <w:pPr>
              <w:jc w:val="center"/>
              <w:rPr>
                <w:rFonts w:eastAsia="Times New Roman" w:cs="Calibri"/>
              </w:rPr>
            </w:pPr>
            <w:r>
              <w:rPr>
                <w:rFonts w:eastAsia="Times New Roman" w:cs="Calibri"/>
              </w:rPr>
              <w:t>Istanza n. 9 2019</w:t>
            </w:r>
          </w:p>
        </w:tc>
        <w:tc>
          <w:tcPr>
            <w:tcW w:w="615" w:type="pct"/>
            <w:tcBorders>
              <w:top w:val="single" w:sz="4" w:space="0" w:color="auto"/>
              <w:left w:val="nil"/>
              <w:bottom w:val="single" w:sz="4" w:space="0" w:color="auto"/>
              <w:right w:val="single" w:sz="4" w:space="0" w:color="auto"/>
            </w:tcBorders>
            <w:shd w:val="clear" w:color="auto" w:fill="auto"/>
            <w:vAlign w:val="center"/>
          </w:tcPr>
          <w:p w:rsidR="00745826" w:rsidRPr="00000041" w:rsidRDefault="00745826" w:rsidP="00FE4DD9">
            <w:pPr>
              <w:jc w:val="center"/>
              <w:rPr>
                <w:rFonts w:eastAsia="Times New Roman" w:cs="Calibri"/>
              </w:rPr>
            </w:pPr>
            <w:r w:rsidRPr="00000041">
              <w:rPr>
                <w:rFonts w:eastAsia="Times New Roman" w:cs="Calibri"/>
              </w:rPr>
              <w:t>FINCANTIERI S.P.A.</w:t>
            </w:r>
          </w:p>
        </w:tc>
        <w:tc>
          <w:tcPr>
            <w:tcW w:w="450" w:type="pct"/>
            <w:tcBorders>
              <w:top w:val="single" w:sz="4" w:space="0" w:color="auto"/>
              <w:left w:val="nil"/>
              <w:bottom w:val="single" w:sz="4" w:space="0" w:color="auto"/>
              <w:right w:val="single" w:sz="4" w:space="0" w:color="auto"/>
            </w:tcBorders>
            <w:shd w:val="clear" w:color="auto" w:fill="auto"/>
            <w:vAlign w:val="center"/>
          </w:tcPr>
          <w:p w:rsidR="00745826" w:rsidRPr="006D6572" w:rsidRDefault="00745826" w:rsidP="00FE4DD9">
            <w:pPr>
              <w:jc w:val="center"/>
              <w:rPr>
                <w:rFonts w:eastAsia="Times New Roman" w:cs="Calibri"/>
              </w:rPr>
            </w:pPr>
            <w:r w:rsidRPr="00364D60">
              <w:rPr>
                <w:rFonts w:eastAsia="Times New Roman" w:cs="Calibri"/>
              </w:rPr>
              <w:t>Viking Cruises Ltd</w:t>
            </w:r>
          </w:p>
        </w:tc>
        <w:tc>
          <w:tcPr>
            <w:tcW w:w="454" w:type="pct"/>
            <w:tcBorders>
              <w:top w:val="single" w:sz="4" w:space="0" w:color="auto"/>
              <w:left w:val="nil"/>
              <w:bottom w:val="single" w:sz="4" w:space="0" w:color="auto"/>
              <w:right w:val="single" w:sz="4" w:space="0" w:color="auto"/>
            </w:tcBorders>
            <w:shd w:val="clear" w:color="auto" w:fill="auto"/>
            <w:vAlign w:val="center"/>
          </w:tcPr>
          <w:p w:rsidR="00745826" w:rsidRPr="00000041" w:rsidRDefault="00745826" w:rsidP="00FE4DD9">
            <w:pPr>
              <w:jc w:val="center"/>
              <w:rPr>
                <w:rFonts w:eastAsia="Times New Roman" w:cs="Calibri"/>
              </w:rPr>
            </w:pPr>
            <w:r w:rsidRPr="00000041">
              <w:rPr>
                <w:rFonts w:eastAsia="Times New Roman" w:cs="Calibri"/>
              </w:rPr>
              <w:t>Fornitura di una nave da crocier</w:t>
            </w:r>
            <w:r>
              <w:rPr>
                <w:rFonts w:eastAsia="Times New Roman" w:cs="Calibri"/>
              </w:rPr>
              <w:t xml:space="preserve">a </w:t>
            </w:r>
            <w:r>
              <w:rPr>
                <w:rFonts w:eastAsia="Times New Roman" w:cs="Calibri"/>
              </w:rPr>
              <w:lastRenderedPageBreak/>
              <w:t>con prevista consegna nel 2026</w:t>
            </w:r>
          </w:p>
        </w:tc>
        <w:tc>
          <w:tcPr>
            <w:tcW w:w="320" w:type="pct"/>
            <w:tcBorders>
              <w:top w:val="single" w:sz="4" w:space="0" w:color="auto"/>
              <w:left w:val="nil"/>
              <w:bottom w:val="single" w:sz="4" w:space="0" w:color="auto"/>
              <w:right w:val="single" w:sz="4" w:space="0" w:color="auto"/>
            </w:tcBorders>
            <w:shd w:val="clear" w:color="auto" w:fill="auto"/>
            <w:vAlign w:val="center"/>
          </w:tcPr>
          <w:p w:rsidR="00745826" w:rsidRPr="006D6572" w:rsidRDefault="00745826" w:rsidP="00FE4DD9">
            <w:pPr>
              <w:jc w:val="center"/>
              <w:rPr>
                <w:rFonts w:eastAsia="Times New Roman" w:cs="Calibri"/>
              </w:rPr>
            </w:pPr>
            <w:r>
              <w:rPr>
                <w:rFonts w:eastAsia="Times New Roman" w:cs="Calibri"/>
              </w:rPr>
              <w:lastRenderedPageBreak/>
              <w:t>BERMUDA</w:t>
            </w:r>
          </w:p>
        </w:tc>
        <w:tc>
          <w:tcPr>
            <w:tcW w:w="481" w:type="pct"/>
            <w:tcBorders>
              <w:top w:val="single" w:sz="4" w:space="0" w:color="auto"/>
              <w:left w:val="nil"/>
              <w:bottom w:val="single" w:sz="4" w:space="0" w:color="auto"/>
              <w:right w:val="single" w:sz="4" w:space="0" w:color="auto"/>
            </w:tcBorders>
            <w:shd w:val="clear" w:color="auto" w:fill="auto"/>
            <w:vAlign w:val="center"/>
          </w:tcPr>
          <w:p w:rsidR="00745826" w:rsidRDefault="00745826" w:rsidP="00FE4DD9">
            <w:pPr>
              <w:jc w:val="center"/>
              <w:rPr>
                <w:rFonts w:eastAsia="Times New Roman" w:cs="Calibri"/>
              </w:rPr>
            </w:pPr>
            <w:r>
              <w:rPr>
                <w:rFonts w:eastAsia="Times New Roman" w:cs="Calibri"/>
              </w:rPr>
              <w:t>400 mln/euro</w:t>
            </w:r>
          </w:p>
        </w:tc>
        <w:tc>
          <w:tcPr>
            <w:tcW w:w="659" w:type="pct"/>
            <w:tcBorders>
              <w:top w:val="single" w:sz="4" w:space="0" w:color="auto"/>
              <w:left w:val="nil"/>
              <w:bottom w:val="single" w:sz="4" w:space="0" w:color="auto"/>
              <w:right w:val="single" w:sz="4" w:space="0" w:color="auto"/>
            </w:tcBorders>
            <w:shd w:val="clear" w:color="auto" w:fill="auto"/>
            <w:vAlign w:val="center"/>
          </w:tcPr>
          <w:p w:rsidR="00745826" w:rsidRPr="00F745DC" w:rsidRDefault="00745826" w:rsidP="00FE4DD9">
            <w:pPr>
              <w:jc w:val="center"/>
            </w:pPr>
            <w:r w:rsidRPr="00364D60">
              <w:t>440.121.759,28</w:t>
            </w:r>
          </w:p>
        </w:tc>
        <w:tc>
          <w:tcPr>
            <w:tcW w:w="336" w:type="pct"/>
            <w:tcBorders>
              <w:top w:val="single" w:sz="4" w:space="0" w:color="auto"/>
              <w:left w:val="nil"/>
              <w:bottom w:val="single" w:sz="4" w:space="0" w:color="auto"/>
              <w:right w:val="single" w:sz="4" w:space="0" w:color="auto"/>
            </w:tcBorders>
            <w:shd w:val="clear" w:color="auto" w:fill="auto"/>
            <w:vAlign w:val="center"/>
          </w:tcPr>
          <w:p w:rsidR="00745826" w:rsidRDefault="00745826" w:rsidP="00FE4DD9">
            <w:pPr>
              <w:jc w:val="center"/>
              <w:rPr>
                <w:rFonts w:eastAsia="Times New Roman" w:cs="Calibri"/>
              </w:rPr>
            </w:pPr>
            <w:r>
              <w:rPr>
                <w:rFonts w:eastAsia="Times New Roman" w:cs="Calibri"/>
              </w:rPr>
              <w:t>18 anni – 8 mesi</w:t>
            </w:r>
          </w:p>
        </w:tc>
        <w:tc>
          <w:tcPr>
            <w:tcW w:w="474" w:type="pct"/>
            <w:tcBorders>
              <w:top w:val="single" w:sz="4" w:space="0" w:color="auto"/>
              <w:left w:val="nil"/>
              <w:bottom w:val="single" w:sz="4" w:space="0" w:color="auto"/>
              <w:right w:val="single" w:sz="4" w:space="0" w:color="auto"/>
            </w:tcBorders>
            <w:shd w:val="clear" w:color="auto" w:fill="auto"/>
            <w:vAlign w:val="center"/>
          </w:tcPr>
          <w:p w:rsidR="00745826" w:rsidRDefault="00745826" w:rsidP="00FE4DD9">
            <w:pPr>
              <w:jc w:val="center"/>
              <w:rPr>
                <w:rFonts w:eastAsia="Times New Roman" w:cs="Calibri"/>
              </w:rPr>
            </w:pPr>
            <w:r>
              <w:rPr>
                <w:rFonts w:eastAsia="Times New Roman" w:cs="Calibri"/>
              </w:rPr>
              <w:t>30/09/2019</w:t>
            </w:r>
          </w:p>
        </w:tc>
        <w:tc>
          <w:tcPr>
            <w:tcW w:w="646" w:type="pct"/>
            <w:tcBorders>
              <w:top w:val="single" w:sz="4" w:space="0" w:color="auto"/>
              <w:left w:val="nil"/>
              <w:bottom w:val="single" w:sz="4" w:space="0" w:color="auto"/>
              <w:right w:val="single" w:sz="4" w:space="0" w:color="auto"/>
            </w:tcBorders>
            <w:shd w:val="clear" w:color="auto" w:fill="auto"/>
            <w:vAlign w:val="center"/>
          </w:tcPr>
          <w:p w:rsidR="00745826" w:rsidRPr="00000041" w:rsidRDefault="00745826" w:rsidP="00FE4DD9">
            <w:pPr>
              <w:jc w:val="center"/>
              <w:rPr>
                <w:rFonts w:eastAsia="Times New Roman" w:cs="Calibri"/>
              </w:rPr>
            </w:pPr>
            <w:r>
              <w:rPr>
                <w:rFonts w:eastAsia="Times New Roman" w:cs="Calibri"/>
              </w:rPr>
              <w:t>Settore</w:t>
            </w:r>
          </w:p>
        </w:tc>
      </w:tr>
      <w:tr w:rsidR="00745826" w:rsidRPr="00000041" w:rsidTr="00FE4DD9">
        <w:trPr>
          <w:trHeight w:val="576"/>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745826" w:rsidRDefault="00745826" w:rsidP="00FE4DD9">
            <w:pPr>
              <w:jc w:val="center"/>
              <w:rPr>
                <w:rFonts w:eastAsia="Times New Roman" w:cs="Calibri"/>
              </w:rPr>
            </w:pPr>
            <w:r>
              <w:rPr>
                <w:rFonts w:eastAsia="Times New Roman" w:cs="Calibri"/>
              </w:rPr>
              <w:t xml:space="preserve">2019/1645/00 </w:t>
            </w:r>
          </w:p>
          <w:p w:rsidR="00745826" w:rsidRDefault="00745826" w:rsidP="00FE4DD9">
            <w:pPr>
              <w:jc w:val="center"/>
              <w:rPr>
                <w:rFonts w:eastAsia="Times New Roman" w:cs="Calibri"/>
              </w:rPr>
            </w:pPr>
            <w:r>
              <w:rPr>
                <w:rFonts w:eastAsia="Times New Roman" w:cs="Calibri"/>
              </w:rPr>
              <w:t>Istanza n. 10 2019</w:t>
            </w:r>
          </w:p>
        </w:tc>
        <w:tc>
          <w:tcPr>
            <w:tcW w:w="615" w:type="pct"/>
            <w:tcBorders>
              <w:top w:val="single" w:sz="4" w:space="0" w:color="auto"/>
              <w:left w:val="nil"/>
              <w:bottom w:val="single" w:sz="4" w:space="0" w:color="auto"/>
              <w:right w:val="single" w:sz="4" w:space="0" w:color="auto"/>
            </w:tcBorders>
            <w:shd w:val="clear" w:color="auto" w:fill="auto"/>
            <w:vAlign w:val="center"/>
          </w:tcPr>
          <w:p w:rsidR="00745826" w:rsidRPr="00000041" w:rsidRDefault="00745826" w:rsidP="00FE4DD9">
            <w:pPr>
              <w:jc w:val="center"/>
              <w:rPr>
                <w:rFonts w:eastAsia="Times New Roman" w:cs="Calibri"/>
              </w:rPr>
            </w:pPr>
            <w:r w:rsidRPr="00000041">
              <w:rPr>
                <w:rFonts w:eastAsia="Times New Roman" w:cs="Calibri"/>
              </w:rPr>
              <w:t>FINCANTIERI S.P.A.</w:t>
            </w:r>
          </w:p>
        </w:tc>
        <w:tc>
          <w:tcPr>
            <w:tcW w:w="450" w:type="pct"/>
            <w:tcBorders>
              <w:top w:val="single" w:sz="4" w:space="0" w:color="auto"/>
              <w:left w:val="nil"/>
              <w:bottom w:val="single" w:sz="4" w:space="0" w:color="auto"/>
              <w:right w:val="single" w:sz="4" w:space="0" w:color="auto"/>
            </w:tcBorders>
            <w:shd w:val="clear" w:color="auto" w:fill="auto"/>
            <w:vAlign w:val="center"/>
          </w:tcPr>
          <w:p w:rsidR="00745826" w:rsidRPr="006D6572" w:rsidRDefault="00745826" w:rsidP="00FE4DD9">
            <w:pPr>
              <w:jc w:val="center"/>
              <w:rPr>
                <w:rFonts w:eastAsia="Times New Roman" w:cs="Calibri"/>
              </w:rPr>
            </w:pPr>
            <w:r w:rsidRPr="00364D60">
              <w:rPr>
                <w:rFonts w:eastAsia="Times New Roman" w:cs="Calibri"/>
              </w:rPr>
              <w:t>Viking Cruises Ltd</w:t>
            </w:r>
          </w:p>
        </w:tc>
        <w:tc>
          <w:tcPr>
            <w:tcW w:w="454" w:type="pct"/>
            <w:tcBorders>
              <w:top w:val="single" w:sz="4" w:space="0" w:color="auto"/>
              <w:left w:val="nil"/>
              <w:bottom w:val="single" w:sz="4" w:space="0" w:color="auto"/>
              <w:right w:val="single" w:sz="4" w:space="0" w:color="auto"/>
            </w:tcBorders>
            <w:shd w:val="clear" w:color="auto" w:fill="auto"/>
            <w:vAlign w:val="center"/>
          </w:tcPr>
          <w:p w:rsidR="00745826" w:rsidRPr="00000041" w:rsidRDefault="00745826" w:rsidP="00FE4DD9">
            <w:pPr>
              <w:jc w:val="center"/>
              <w:rPr>
                <w:rFonts w:eastAsia="Times New Roman" w:cs="Calibri"/>
              </w:rPr>
            </w:pPr>
            <w:r w:rsidRPr="00000041">
              <w:rPr>
                <w:rFonts w:eastAsia="Times New Roman" w:cs="Calibri"/>
              </w:rPr>
              <w:t>Fornitura di una nave da crocier</w:t>
            </w:r>
            <w:r>
              <w:rPr>
                <w:rFonts w:eastAsia="Times New Roman" w:cs="Calibri"/>
              </w:rPr>
              <w:t>a con prevista consegna nel 2026</w:t>
            </w:r>
          </w:p>
        </w:tc>
        <w:tc>
          <w:tcPr>
            <w:tcW w:w="320" w:type="pct"/>
            <w:tcBorders>
              <w:top w:val="single" w:sz="4" w:space="0" w:color="auto"/>
              <w:left w:val="nil"/>
              <w:bottom w:val="single" w:sz="4" w:space="0" w:color="auto"/>
              <w:right w:val="single" w:sz="4" w:space="0" w:color="auto"/>
            </w:tcBorders>
            <w:shd w:val="clear" w:color="auto" w:fill="auto"/>
            <w:vAlign w:val="center"/>
          </w:tcPr>
          <w:p w:rsidR="00745826" w:rsidRPr="006D6572" w:rsidRDefault="00745826" w:rsidP="00FE4DD9">
            <w:pPr>
              <w:jc w:val="center"/>
              <w:rPr>
                <w:rFonts w:eastAsia="Times New Roman" w:cs="Calibri"/>
              </w:rPr>
            </w:pPr>
            <w:r>
              <w:rPr>
                <w:rFonts w:eastAsia="Times New Roman" w:cs="Calibri"/>
              </w:rPr>
              <w:t>BERMUDA</w:t>
            </w:r>
          </w:p>
        </w:tc>
        <w:tc>
          <w:tcPr>
            <w:tcW w:w="481" w:type="pct"/>
            <w:tcBorders>
              <w:top w:val="single" w:sz="4" w:space="0" w:color="auto"/>
              <w:left w:val="nil"/>
              <w:bottom w:val="single" w:sz="4" w:space="0" w:color="auto"/>
              <w:right w:val="single" w:sz="4" w:space="0" w:color="auto"/>
            </w:tcBorders>
            <w:shd w:val="clear" w:color="auto" w:fill="auto"/>
            <w:vAlign w:val="center"/>
          </w:tcPr>
          <w:p w:rsidR="00745826" w:rsidRDefault="00745826" w:rsidP="00FE4DD9">
            <w:pPr>
              <w:jc w:val="center"/>
              <w:rPr>
                <w:rFonts w:eastAsia="Times New Roman" w:cs="Calibri"/>
              </w:rPr>
            </w:pPr>
            <w:r>
              <w:rPr>
                <w:rFonts w:eastAsia="Times New Roman" w:cs="Calibri"/>
              </w:rPr>
              <w:t>400 mln/euro</w:t>
            </w:r>
          </w:p>
        </w:tc>
        <w:tc>
          <w:tcPr>
            <w:tcW w:w="659" w:type="pct"/>
            <w:tcBorders>
              <w:top w:val="single" w:sz="4" w:space="0" w:color="auto"/>
              <w:left w:val="nil"/>
              <w:bottom w:val="single" w:sz="4" w:space="0" w:color="auto"/>
              <w:right w:val="single" w:sz="4" w:space="0" w:color="auto"/>
            </w:tcBorders>
            <w:shd w:val="clear" w:color="auto" w:fill="auto"/>
            <w:vAlign w:val="center"/>
          </w:tcPr>
          <w:p w:rsidR="00745826" w:rsidRPr="00F745DC" w:rsidRDefault="00745826" w:rsidP="00FE4DD9">
            <w:pPr>
              <w:jc w:val="center"/>
            </w:pPr>
            <w:r w:rsidRPr="00364D60">
              <w:t>440.062.606,85</w:t>
            </w:r>
          </w:p>
        </w:tc>
        <w:tc>
          <w:tcPr>
            <w:tcW w:w="336" w:type="pct"/>
            <w:tcBorders>
              <w:top w:val="single" w:sz="4" w:space="0" w:color="auto"/>
              <w:left w:val="nil"/>
              <w:bottom w:val="single" w:sz="4" w:space="0" w:color="auto"/>
              <w:right w:val="single" w:sz="4" w:space="0" w:color="auto"/>
            </w:tcBorders>
            <w:shd w:val="clear" w:color="auto" w:fill="auto"/>
            <w:vAlign w:val="center"/>
          </w:tcPr>
          <w:p w:rsidR="00745826" w:rsidRDefault="00745826" w:rsidP="00FE4DD9">
            <w:pPr>
              <w:jc w:val="center"/>
              <w:rPr>
                <w:rFonts w:eastAsia="Times New Roman" w:cs="Calibri"/>
              </w:rPr>
            </w:pPr>
            <w:r>
              <w:rPr>
                <w:rFonts w:eastAsia="Times New Roman" w:cs="Calibri"/>
              </w:rPr>
              <w:t>19 anni – 2 mesi</w:t>
            </w:r>
          </w:p>
        </w:tc>
        <w:tc>
          <w:tcPr>
            <w:tcW w:w="474" w:type="pct"/>
            <w:tcBorders>
              <w:top w:val="single" w:sz="4" w:space="0" w:color="auto"/>
              <w:left w:val="nil"/>
              <w:bottom w:val="single" w:sz="4" w:space="0" w:color="auto"/>
              <w:right w:val="single" w:sz="4" w:space="0" w:color="auto"/>
            </w:tcBorders>
            <w:shd w:val="clear" w:color="auto" w:fill="auto"/>
            <w:vAlign w:val="center"/>
          </w:tcPr>
          <w:p w:rsidR="00745826" w:rsidRDefault="00745826" w:rsidP="00FE4DD9">
            <w:pPr>
              <w:jc w:val="center"/>
              <w:rPr>
                <w:rFonts w:eastAsia="Times New Roman" w:cs="Calibri"/>
              </w:rPr>
            </w:pPr>
            <w:r>
              <w:rPr>
                <w:rFonts w:eastAsia="Times New Roman" w:cs="Calibri"/>
              </w:rPr>
              <w:t>30/09/2019</w:t>
            </w:r>
          </w:p>
        </w:tc>
        <w:tc>
          <w:tcPr>
            <w:tcW w:w="646" w:type="pct"/>
            <w:tcBorders>
              <w:top w:val="single" w:sz="4" w:space="0" w:color="auto"/>
              <w:left w:val="nil"/>
              <w:bottom w:val="single" w:sz="4" w:space="0" w:color="auto"/>
              <w:right w:val="single" w:sz="4" w:space="0" w:color="auto"/>
            </w:tcBorders>
            <w:shd w:val="clear" w:color="auto" w:fill="auto"/>
            <w:vAlign w:val="center"/>
          </w:tcPr>
          <w:p w:rsidR="00745826" w:rsidRPr="00000041" w:rsidRDefault="00745826" w:rsidP="00FE4DD9">
            <w:pPr>
              <w:jc w:val="center"/>
              <w:rPr>
                <w:rFonts w:eastAsia="Times New Roman" w:cs="Calibri"/>
              </w:rPr>
            </w:pPr>
            <w:r>
              <w:rPr>
                <w:rFonts w:eastAsia="Times New Roman" w:cs="Calibri"/>
              </w:rPr>
              <w:t>Settore</w:t>
            </w:r>
          </w:p>
        </w:tc>
      </w:tr>
    </w:tbl>
    <w:p w:rsidR="00745826" w:rsidRDefault="00745826" w:rsidP="00745826">
      <w:pPr>
        <w:rPr>
          <w:b/>
          <w:sz w:val="28"/>
          <w:szCs w:val="28"/>
        </w:rPr>
      </w:pPr>
    </w:p>
    <w:p w:rsidR="00745826" w:rsidRDefault="00745826" w:rsidP="00745826">
      <w:pPr>
        <w:rPr>
          <w:b/>
          <w:sz w:val="28"/>
          <w:szCs w:val="28"/>
        </w:rPr>
      </w:pPr>
    </w:p>
    <w:p w:rsidR="00745826" w:rsidRDefault="00745826" w:rsidP="00745826">
      <w:pPr>
        <w:rPr>
          <w:b/>
          <w:sz w:val="28"/>
          <w:szCs w:val="28"/>
        </w:rPr>
      </w:pPr>
    </w:p>
    <w:p w:rsidR="00745826" w:rsidRDefault="00745826" w:rsidP="00745826">
      <w:pPr>
        <w:rPr>
          <w:b/>
          <w:sz w:val="28"/>
          <w:szCs w:val="28"/>
        </w:rPr>
      </w:pPr>
    </w:p>
    <w:p w:rsidR="00745826" w:rsidRDefault="00745826" w:rsidP="00745826">
      <w:pPr>
        <w:rPr>
          <w:b/>
          <w:sz w:val="28"/>
          <w:szCs w:val="28"/>
        </w:rPr>
      </w:pPr>
    </w:p>
    <w:p w:rsidR="00745826" w:rsidRDefault="00745826" w:rsidP="00745826">
      <w:pPr>
        <w:rPr>
          <w:b/>
          <w:sz w:val="28"/>
          <w:szCs w:val="28"/>
        </w:rPr>
      </w:pPr>
    </w:p>
    <w:p w:rsidR="00745826" w:rsidRDefault="00745826" w:rsidP="00745826">
      <w:pPr>
        <w:rPr>
          <w:b/>
          <w:sz w:val="28"/>
          <w:szCs w:val="28"/>
        </w:rPr>
      </w:pPr>
    </w:p>
    <w:p w:rsidR="00745826" w:rsidRDefault="00745826" w:rsidP="00745826">
      <w:pPr>
        <w:rPr>
          <w:b/>
          <w:sz w:val="28"/>
          <w:szCs w:val="28"/>
        </w:rPr>
      </w:pPr>
    </w:p>
    <w:p w:rsidR="00745826" w:rsidRPr="00950297" w:rsidRDefault="00745826" w:rsidP="00745826">
      <w:pPr>
        <w:rPr>
          <w:b/>
          <w:sz w:val="28"/>
          <w:szCs w:val="28"/>
        </w:rPr>
      </w:pPr>
      <w:r>
        <w:rPr>
          <w:b/>
          <w:sz w:val="28"/>
          <w:szCs w:val="28"/>
        </w:rPr>
        <w:lastRenderedPageBreak/>
        <w:t>3) O</w:t>
      </w:r>
      <w:r w:rsidRPr="00C01885">
        <w:rPr>
          <w:b/>
          <w:sz w:val="28"/>
          <w:szCs w:val="28"/>
        </w:rPr>
        <w:t xml:space="preserve">perazioni di cui al punto </w:t>
      </w:r>
      <w:r>
        <w:rPr>
          <w:b/>
          <w:sz w:val="28"/>
          <w:szCs w:val="28"/>
        </w:rPr>
        <w:t>c) dell’articolo 2, comma 4</w:t>
      </w:r>
    </w:p>
    <w:tbl>
      <w:tblPr>
        <w:tblW w:w="5000" w:type="pct"/>
        <w:tblCellMar>
          <w:left w:w="70" w:type="dxa"/>
          <w:right w:w="70" w:type="dxa"/>
        </w:tblCellMar>
        <w:tblLook w:val="04A0" w:firstRow="1" w:lastRow="0" w:firstColumn="1" w:lastColumn="0" w:noHBand="0" w:noVBand="1"/>
      </w:tblPr>
      <w:tblGrid>
        <w:gridCol w:w="1474"/>
        <w:gridCol w:w="1647"/>
        <w:gridCol w:w="1847"/>
        <w:gridCol w:w="1034"/>
        <w:gridCol w:w="1464"/>
        <w:gridCol w:w="1184"/>
        <w:gridCol w:w="1700"/>
        <w:gridCol w:w="874"/>
        <w:gridCol w:w="1234"/>
        <w:gridCol w:w="1534"/>
      </w:tblGrid>
      <w:tr w:rsidR="00745826" w:rsidRPr="00000041" w:rsidTr="00FE4DD9">
        <w:trPr>
          <w:trHeight w:val="864"/>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b/>
                <w:bCs/>
              </w:rPr>
            </w:pPr>
            <w:r w:rsidRPr="00000041">
              <w:rPr>
                <w:rFonts w:eastAsia="Times New Roman" w:cs="Calibri"/>
                <w:b/>
                <w:bCs/>
              </w:rPr>
              <w:t>N. Operazione</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b/>
                <w:bCs/>
              </w:rPr>
            </w:pPr>
            <w:r w:rsidRPr="00000041">
              <w:rPr>
                <w:rFonts w:eastAsia="Times New Roman" w:cs="Calibri"/>
                <w:b/>
                <w:bCs/>
              </w:rPr>
              <w:t>Esportatore</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b/>
                <w:bCs/>
              </w:rPr>
            </w:pPr>
            <w:r w:rsidRPr="00000041">
              <w:rPr>
                <w:rFonts w:eastAsia="Times New Roman" w:cs="Calibri"/>
                <w:b/>
                <w:bCs/>
              </w:rPr>
              <w:t>Debitore / Garante</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b/>
                <w:bCs/>
              </w:rPr>
            </w:pPr>
            <w:r w:rsidRPr="00000041">
              <w:rPr>
                <w:rFonts w:eastAsia="Times New Roman" w:cs="Calibri"/>
                <w:b/>
                <w:bCs/>
              </w:rPr>
              <w:t>Oggetto</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b/>
                <w:bCs/>
              </w:rPr>
            </w:pPr>
            <w:r w:rsidRPr="00000041">
              <w:rPr>
                <w:rFonts w:eastAsia="Times New Roman" w:cs="Calibri"/>
                <w:b/>
                <w:bCs/>
              </w:rPr>
              <w:t>Paese</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b/>
                <w:bCs/>
              </w:rPr>
            </w:pPr>
            <w:r w:rsidRPr="00000041">
              <w:rPr>
                <w:rFonts w:eastAsia="Times New Roman" w:cs="Calibri"/>
                <w:b/>
                <w:bCs/>
              </w:rPr>
              <w:t>Valore del Contratto</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b/>
                <w:bCs/>
              </w:rPr>
            </w:pPr>
            <w:r w:rsidRPr="00000041">
              <w:rPr>
                <w:rFonts w:eastAsia="Times New Roman" w:cs="Calibri"/>
                <w:b/>
                <w:bCs/>
              </w:rPr>
              <w:t xml:space="preserve">Impegno assicurativo </w:t>
            </w:r>
            <w:r w:rsidRPr="00000041">
              <w:rPr>
                <w:rFonts w:eastAsia="Times New Roman" w:cs="Calibri"/>
                <w:b/>
                <w:bCs/>
              </w:rPr>
              <w:br/>
              <w:t>(nominale/€)</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b/>
                <w:bCs/>
              </w:rPr>
            </w:pPr>
            <w:r w:rsidRPr="00000041">
              <w:rPr>
                <w:rFonts w:eastAsia="Times New Roman" w:cs="Calibri"/>
                <w:b/>
                <w:bCs/>
              </w:rPr>
              <w:t>Durata (anni)</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b/>
                <w:bCs/>
              </w:rPr>
            </w:pPr>
            <w:r w:rsidRPr="00000041">
              <w:rPr>
                <w:rFonts w:eastAsia="Times New Roman" w:cs="Calibri"/>
                <w:b/>
                <w:bCs/>
              </w:rPr>
              <w:t>Data Delibera SACE</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b/>
                <w:bCs/>
              </w:rPr>
            </w:pPr>
            <w:r w:rsidRPr="00000041">
              <w:rPr>
                <w:rFonts w:eastAsia="Times New Roman" w:cs="Calibri"/>
                <w:b/>
                <w:bCs/>
              </w:rPr>
              <w:t>Superamento Portata Massima</w:t>
            </w:r>
          </w:p>
        </w:tc>
      </w:tr>
      <w:tr w:rsidR="00745826" w:rsidRPr="00000041" w:rsidTr="00FE4DD9">
        <w:trPr>
          <w:trHeight w:val="70"/>
        </w:trPr>
        <w:tc>
          <w:tcPr>
            <w:tcW w:w="565" w:type="pct"/>
            <w:tcBorders>
              <w:top w:val="nil"/>
              <w:left w:val="nil"/>
              <w:bottom w:val="nil"/>
              <w:right w:val="nil"/>
            </w:tcBorders>
            <w:shd w:val="clear" w:color="auto" w:fill="auto"/>
            <w:noWrap/>
            <w:vAlign w:val="bottom"/>
            <w:hideMark/>
          </w:tcPr>
          <w:p w:rsidR="00745826" w:rsidRPr="00000041" w:rsidRDefault="00745826" w:rsidP="00FE4DD9">
            <w:pPr>
              <w:jc w:val="center"/>
              <w:rPr>
                <w:rFonts w:eastAsia="Times New Roman" w:cs="Calibri"/>
                <w:b/>
                <w:bCs/>
              </w:rPr>
            </w:pPr>
          </w:p>
        </w:tc>
        <w:tc>
          <w:tcPr>
            <w:tcW w:w="615" w:type="pct"/>
            <w:tcBorders>
              <w:top w:val="nil"/>
              <w:left w:val="nil"/>
              <w:bottom w:val="nil"/>
              <w:right w:val="nil"/>
            </w:tcBorders>
            <w:shd w:val="clear" w:color="auto" w:fill="auto"/>
            <w:noWrap/>
            <w:vAlign w:val="bottom"/>
            <w:hideMark/>
          </w:tcPr>
          <w:p w:rsidR="00745826" w:rsidRPr="00000041" w:rsidRDefault="00745826" w:rsidP="00FE4DD9">
            <w:pPr>
              <w:rPr>
                <w:rFonts w:eastAsia="Times New Roman"/>
                <w:sz w:val="20"/>
                <w:szCs w:val="20"/>
              </w:rPr>
            </w:pPr>
          </w:p>
        </w:tc>
        <w:tc>
          <w:tcPr>
            <w:tcW w:w="450" w:type="pct"/>
            <w:tcBorders>
              <w:top w:val="nil"/>
              <w:left w:val="nil"/>
              <w:bottom w:val="nil"/>
              <w:right w:val="nil"/>
            </w:tcBorders>
            <w:shd w:val="clear" w:color="auto" w:fill="auto"/>
            <w:noWrap/>
            <w:vAlign w:val="bottom"/>
            <w:hideMark/>
          </w:tcPr>
          <w:p w:rsidR="00745826" w:rsidRPr="00000041" w:rsidRDefault="00745826" w:rsidP="00FE4DD9">
            <w:pPr>
              <w:rPr>
                <w:rFonts w:eastAsia="Times New Roman"/>
                <w:sz w:val="20"/>
                <w:szCs w:val="20"/>
              </w:rPr>
            </w:pPr>
          </w:p>
        </w:tc>
        <w:tc>
          <w:tcPr>
            <w:tcW w:w="454" w:type="pct"/>
            <w:tcBorders>
              <w:top w:val="nil"/>
              <w:left w:val="nil"/>
              <w:bottom w:val="nil"/>
              <w:right w:val="nil"/>
            </w:tcBorders>
            <w:shd w:val="clear" w:color="auto" w:fill="auto"/>
            <w:noWrap/>
            <w:vAlign w:val="bottom"/>
            <w:hideMark/>
          </w:tcPr>
          <w:p w:rsidR="00745826" w:rsidRPr="00000041" w:rsidRDefault="00745826" w:rsidP="00FE4DD9">
            <w:pPr>
              <w:rPr>
                <w:rFonts w:eastAsia="Times New Roman"/>
                <w:sz w:val="20"/>
                <w:szCs w:val="20"/>
              </w:rPr>
            </w:pPr>
          </w:p>
        </w:tc>
        <w:tc>
          <w:tcPr>
            <w:tcW w:w="320" w:type="pct"/>
            <w:tcBorders>
              <w:top w:val="nil"/>
              <w:left w:val="nil"/>
              <w:bottom w:val="nil"/>
              <w:right w:val="nil"/>
            </w:tcBorders>
            <w:shd w:val="clear" w:color="auto" w:fill="auto"/>
            <w:noWrap/>
            <w:vAlign w:val="bottom"/>
            <w:hideMark/>
          </w:tcPr>
          <w:p w:rsidR="00745826" w:rsidRPr="00000041" w:rsidRDefault="00745826" w:rsidP="00FE4DD9">
            <w:pPr>
              <w:rPr>
                <w:rFonts w:eastAsia="Times New Roman"/>
                <w:sz w:val="20"/>
                <w:szCs w:val="20"/>
              </w:rPr>
            </w:pPr>
          </w:p>
        </w:tc>
        <w:tc>
          <w:tcPr>
            <w:tcW w:w="481" w:type="pct"/>
            <w:tcBorders>
              <w:top w:val="nil"/>
              <w:left w:val="nil"/>
              <w:bottom w:val="nil"/>
              <w:right w:val="nil"/>
            </w:tcBorders>
            <w:shd w:val="clear" w:color="auto" w:fill="auto"/>
            <w:noWrap/>
            <w:vAlign w:val="bottom"/>
            <w:hideMark/>
          </w:tcPr>
          <w:p w:rsidR="00745826" w:rsidRPr="00000041" w:rsidRDefault="00745826" w:rsidP="00FE4DD9">
            <w:pPr>
              <w:rPr>
                <w:rFonts w:eastAsia="Times New Roman"/>
                <w:sz w:val="20"/>
                <w:szCs w:val="20"/>
              </w:rPr>
            </w:pPr>
          </w:p>
        </w:tc>
        <w:tc>
          <w:tcPr>
            <w:tcW w:w="659" w:type="pct"/>
            <w:tcBorders>
              <w:top w:val="nil"/>
              <w:left w:val="nil"/>
              <w:bottom w:val="nil"/>
              <w:right w:val="nil"/>
            </w:tcBorders>
            <w:shd w:val="clear" w:color="auto" w:fill="auto"/>
            <w:noWrap/>
            <w:vAlign w:val="bottom"/>
            <w:hideMark/>
          </w:tcPr>
          <w:p w:rsidR="00745826" w:rsidRPr="00000041" w:rsidRDefault="00745826" w:rsidP="00FE4DD9">
            <w:pPr>
              <w:rPr>
                <w:rFonts w:eastAsia="Times New Roman"/>
                <w:sz w:val="20"/>
                <w:szCs w:val="20"/>
              </w:rPr>
            </w:pPr>
          </w:p>
        </w:tc>
        <w:tc>
          <w:tcPr>
            <w:tcW w:w="336" w:type="pct"/>
            <w:tcBorders>
              <w:top w:val="nil"/>
              <w:left w:val="nil"/>
              <w:bottom w:val="nil"/>
              <w:right w:val="nil"/>
            </w:tcBorders>
            <w:shd w:val="clear" w:color="auto" w:fill="auto"/>
            <w:noWrap/>
            <w:vAlign w:val="bottom"/>
            <w:hideMark/>
          </w:tcPr>
          <w:p w:rsidR="00745826" w:rsidRPr="00000041" w:rsidRDefault="00745826" w:rsidP="00FE4DD9">
            <w:pPr>
              <w:rPr>
                <w:rFonts w:eastAsia="Times New Roman"/>
                <w:sz w:val="20"/>
                <w:szCs w:val="20"/>
              </w:rPr>
            </w:pPr>
          </w:p>
        </w:tc>
        <w:tc>
          <w:tcPr>
            <w:tcW w:w="474" w:type="pct"/>
            <w:tcBorders>
              <w:top w:val="nil"/>
              <w:left w:val="nil"/>
              <w:bottom w:val="nil"/>
              <w:right w:val="nil"/>
            </w:tcBorders>
            <w:shd w:val="clear" w:color="auto" w:fill="auto"/>
            <w:noWrap/>
            <w:vAlign w:val="bottom"/>
            <w:hideMark/>
          </w:tcPr>
          <w:p w:rsidR="00745826" w:rsidRPr="00000041" w:rsidRDefault="00745826" w:rsidP="00FE4DD9">
            <w:pPr>
              <w:rPr>
                <w:rFonts w:eastAsia="Times New Roman"/>
                <w:sz w:val="20"/>
                <w:szCs w:val="20"/>
              </w:rPr>
            </w:pPr>
          </w:p>
        </w:tc>
        <w:tc>
          <w:tcPr>
            <w:tcW w:w="646" w:type="pct"/>
            <w:tcBorders>
              <w:top w:val="nil"/>
              <w:left w:val="nil"/>
              <w:bottom w:val="nil"/>
              <w:right w:val="nil"/>
            </w:tcBorders>
            <w:shd w:val="clear" w:color="auto" w:fill="auto"/>
            <w:noWrap/>
            <w:vAlign w:val="bottom"/>
            <w:hideMark/>
          </w:tcPr>
          <w:p w:rsidR="00745826" w:rsidRPr="00000041" w:rsidRDefault="00745826" w:rsidP="00FE4DD9">
            <w:pPr>
              <w:rPr>
                <w:rFonts w:eastAsia="Times New Roman"/>
                <w:sz w:val="20"/>
                <w:szCs w:val="20"/>
              </w:rPr>
            </w:pPr>
          </w:p>
        </w:tc>
      </w:tr>
      <w:tr w:rsidR="00745826" w:rsidRPr="00000041" w:rsidTr="00FE4DD9">
        <w:trPr>
          <w:trHeight w:val="576"/>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Pr>
                <w:rFonts w:eastAsia="Times New Roman" w:cs="Calibri"/>
              </w:rPr>
              <w:t>2018/0792/00</w:t>
            </w:r>
            <w:r>
              <w:rPr>
                <w:rFonts w:eastAsia="Times New Roman" w:cs="Calibri"/>
              </w:rPr>
              <w:br/>
              <w:t>Istanza n. 1 2020</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sidRPr="00000041">
              <w:rPr>
                <w:rFonts w:eastAsia="Times New Roman" w:cs="Calibri"/>
              </w:rPr>
              <w:t>FINCANTIERI S.P.A.</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sidRPr="006D6572">
              <w:rPr>
                <w:rFonts w:eastAsia="Times New Roman" w:cs="Calibri"/>
              </w:rPr>
              <w:t>NCL CORPORATION LTD.</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sidRPr="00000041">
              <w:rPr>
                <w:rFonts w:eastAsia="Times New Roman" w:cs="Calibri"/>
              </w:rPr>
              <w:t>Fornitura di una nave da crocier</w:t>
            </w:r>
            <w:r>
              <w:rPr>
                <w:rFonts w:eastAsia="Times New Roman" w:cs="Calibri"/>
              </w:rPr>
              <w:t>a con prevista consegna nel 2025</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sidRPr="006D6572">
              <w:rPr>
                <w:rFonts w:eastAsia="Times New Roman" w:cs="Calibri"/>
              </w:rPr>
              <w:t>STATI UNITI D'AMERICA</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Pr>
                <w:rFonts w:eastAsia="Times New Roman" w:cs="Calibri"/>
              </w:rPr>
              <w:t xml:space="preserve">578,7 </w:t>
            </w:r>
            <w:r w:rsidRPr="00000041">
              <w:rPr>
                <w:rFonts w:eastAsia="Times New Roman" w:cs="Calibri"/>
              </w:rPr>
              <w:t>mln/euro</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sidRPr="00F745DC">
              <w:t>522.563.965,58</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Pr>
                <w:rFonts w:eastAsia="Times New Roman" w:cs="Calibri"/>
              </w:rPr>
              <w:t>17 anni – 1 mese</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Pr>
                <w:rFonts w:eastAsia="Times New Roman" w:cs="Calibri"/>
              </w:rPr>
              <w:t>25/02/2020</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sidRPr="00000041">
              <w:rPr>
                <w:rFonts w:eastAsia="Times New Roman" w:cs="Calibri"/>
              </w:rPr>
              <w:t xml:space="preserve">Controparte </w:t>
            </w:r>
          </w:p>
        </w:tc>
      </w:tr>
      <w:tr w:rsidR="00745826" w:rsidRPr="00000041" w:rsidTr="00FE4DD9">
        <w:trPr>
          <w:trHeight w:val="576"/>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Pr>
                <w:rFonts w:eastAsia="Times New Roman" w:cs="Calibri"/>
              </w:rPr>
              <w:t>2018/0793/00</w:t>
            </w:r>
            <w:r w:rsidRPr="00000041">
              <w:rPr>
                <w:rFonts w:eastAsia="Times New Roman" w:cs="Calibri"/>
              </w:rPr>
              <w:br/>
            </w:r>
            <w:r>
              <w:rPr>
                <w:rFonts w:eastAsia="Times New Roman" w:cs="Calibri"/>
              </w:rPr>
              <w:t>Istanza n. 2 2020</w:t>
            </w:r>
          </w:p>
        </w:tc>
        <w:tc>
          <w:tcPr>
            <w:tcW w:w="615" w:type="pct"/>
            <w:tcBorders>
              <w:top w:val="nil"/>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sidRPr="00000041">
              <w:rPr>
                <w:rFonts w:eastAsia="Times New Roman" w:cs="Calibri"/>
              </w:rPr>
              <w:t>FINCANTIERI S.P.A.</w:t>
            </w:r>
          </w:p>
        </w:tc>
        <w:tc>
          <w:tcPr>
            <w:tcW w:w="450" w:type="pct"/>
            <w:tcBorders>
              <w:top w:val="nil"/>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sidRPr="006D6572">
              <w:rPr>
                <w:rFonts w:eastAsia="Times New Roman" w:cs="Calibri"/>
              </w:rPr>
              <w:t>NCL CORPORATION LTD.</w:t>
            </w:r>
          </w:p>
        </w:tc>
        <w:tc>
          <w:tcPr>
            <w:tcW w:w="454" w:type="pct"/>
            <w:tcBorders>
              <w:top w:val="nil"/>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sidRPr="00000041">
              <w:rPr>
                <w:rFonts w:eastAsia="Times New Roman" w:cs="Calibri"/>
              </w:rPr>
              <w:t>Fornitura di una nave da crocier</w:t>
            </w:r>
            <w:r>
              <w:rPr>
                <w:rFonts w:eastAsia="Times New Roman" w:cs="Calibri"/>
              </w:rPr>
              <w:t>a con prevista consegna nel 2026</w:t>
            </w:r>
          </w:p>
        </w:tc>
        <w:tc>
          <w:tcPr>
            <w:tcW w:w="320" w:type="pct"/>
            <w:tcBorders>
              <w:top w:val="nil"/>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sidRPr="006D6572">
              <w:rPr>
                <w:rFonts w:eastAsia="Times New Roman" w:cs="Calibri"/>
              </w:rPr>
              <w:t>STATI UNITI D'AMERICA</w:t>
            </w:r>
          </w:p>
        </w:tc>
        <w:tc>
          <w:tcPr>
            <w:tcW w:w="481" w:type="pct"/>
            <w:tcBorders>
              <w:top w:val="nil"/>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Pr>
                <w:rFonts w:eastAsia="Times New Roman" w:cs="Calibri"/>
              </w:rPr>
              <w:t>925,0</w:t>
            </w:r>
            <w:r w:rsidRPr="00000041">
              <w:rPr>
                <w:rFonts w:eastAsia="Times New Roman" w:cs="Calibri"/>
              </w:rPr>
              <w:t xml:space="preserve"> mln/euro</w:t>
            </w:r>
          </w:p>
        </w:tc>
        <w:tc>
          <w:tcPr>
            <w:tcW w:w="659" w:type="pct"/>
            <w:tcBorders>
              <w:top w:val="nil"/>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sidRPr="00F745DC">
              <w:t>944.901.040,23</w:t>
            </w:r>
          </w:p>
        </w:tc>
        <w:tc>
          <w:tcPr>
            <w:tcW w:w="336" w:type="pct"/>
            <w:tcBorders>
              <w:top w:val="nil"/>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Pr>
                <w:rFonts w:eastAsia="Times New Roman" w:cs="Calibri"/>
              </w:rPr>
              <w:t>18 anni – 5 mesi</w:t>
            </w:r>
          </w:p>
        </w:tc>
        <w:tc>
          <w:tcPr>
            <w:tcW w:w="474" w:type="pct"/>
            <w:tcBorders>
              <w:top w:val="nil"/>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Pr>
                <w:rFonts w:eastAsia="Times New Roman" w:cs="Calibri"/>
              </w:rPr>
              <w:t>25/02/2020</w:t>
            </w:r>
          </w:p>
        </w:tc>
        <w:tc>
          <w:tcPr>
            <w:tcW w:w="646" w:type="pct"/>
            <w:tcBorders>
              <w:top w:val="nil"/>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sidRPr="00000041">
              <w:rPr>
                <w:rFonts w:eastAsia="Times New Roman" w:cs="Calibri"/>
              </w:rPr>
              <w:t xml:space="preserve">Controparte </w:t>
            </w:r>
          </w:p>
        </w:tc>
      </w:tr>
      <w:tr w:rsidR="00745826" w:rsidRPr="00000041" w:rsidTr="00FE4DD9">
        <w:trPr>
          <w:trHeight w:val="576"/>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Pr>
                <w:rFonts w:eastAsia="Times New Roman" w:cs="Calibri"/>
              </w:rPr>
              <w:lastRenderedPageBreak/>
              <w:t>2018/0794/00</w:t>
            </w:r>
            <w:r>
              <w:rPr>
                <w:rFonts w:eastAsia="Times New Roman" w:cs="Calibri"/>
              </w:rPr>
              <w:br/>
              <w:t>Istanza n. 3 2020</w:t>
            </w:r>
          </w:p>
        </w:tc>
        <w:tc>
          <w:tcPr>
            <w:tcW w:w="615" w:type="pct"/>
            <w:tcBorders>
              <w:top w:val="nil"/>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sidRPr="00000041">
              <w:rPr>
                <w:rFonts w:eastAsia="Times New Roman" w:cs="Calibri"/>
              </w:rPr>
              <w:t>FINCANTIERI S.P.A.</w:t>
            </w:r>
          </w:p>
        </w:tc>
        <w:tc>
          <w:tcPr>
            <w:tcW w:w="450" w:type="pct"/>
            <w:tcBorders>
              <w:top w:val="nil"/>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sidRPr="006D6572">
              <w:rPr>
                <w:rFonts w:eastAsia="Times New Roman" w:cs="Calibri"/>
              </w:rPr>
              <w:t>NCL CORPORATION LTD.</w:t>
            </w:r>
          </w:p>
        </w:tc>
        <w:tc>
          <w:tcPr>
            <w:tcW w:w="454" w:type="pct"/>
            <w:tcBorders>
              <w:top w:val="nil"/>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sidRPr="00000041">
              <w:rPr>
                <w:rFonts w:eastAsia="Times New Roman" w:cs="Calibri"/>
              </w:rPr>
              <w:t>Fornitura di una nave da crocier</w:t>
            </w:r>
            <w:r>
              <w:rPr>
                <w:rFonts w:eastAsia="Times New Roman" w:cs="Calibri"/>
              </w:rPr>
              <w:t>a con prevista consegna nel 2027</w:t>
            </w:r>
          </w:p>
        </w:tc>
        <w:tc>
          <w:tcPr>
            <w:tcW w:w="320" w:type="pct"/>
            <w:tcBorders>
              <w:top w:val="nil"/>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sidRPr="006D6572">
              <w:rPr>
                <w:rFonts w:eastAsia="Times New Roman" w:cs="Calibri"/>
              </w:rPr>
              <w:t>STATI UNITI D'AMERICA</w:t>
            </w:r>
          </w:p>
        </w:tc>
        <w:tc>
          <w:tcPr>
            <w:tcW w:w="481" w:type="pct"/>
            <w:tcBorders>
              <w:top w:val="nil"/>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Pr>
                <w:rFonts w:eastAsia="Times New Roman" w:cs="Calibri"/>
              </w:rPr>
              <w:t>925,0</w:t>
            </w:r>
            <w:r w:rsidRPr="00000041">
              <w:rPr>
                <w:rFonts w:eastAsia="Times New Roman" w:cs="Calibri"/>
              </w:rPr>
              <w:t xml:space="preserve"> mln/euro</w:t>
            </w:r>
          </w:p>
        </w:tc>
        <w:tc>
          <w:tcPr>
            <w:tcW w:w="659" w:type="pct"/>
            <w:tcBorders>
              <w:top w:val="nil"/>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sidRPr="00F745DC">
              <w:t>837.719.916,99</w:t>
            </w:r>
          </w:p>
        </w:tc>
        <w:tc>
          <w:tcPr>
            <w:tcW w:w="336" w:type="pct"/>
            <w:tcBorders>
              <w:top w:val="nil"/>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Pr>
                <w:rFonts w:eastAsia="Times New Roman" w:cs="Calibri"/>
              </w:rPr>
              <w:t>19 anni – 4 mesi</w:t>
            </w:r>
          </w:p>
        </w:tc>
        <w:tc>
          <w:tcPr>
            <w:tcW w:w="474" w:type="pct"/>
            <w:tcBorders>
              <w:top w:val="nil"/>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Pr>
                <w:rFonts w:eastAsia="Times New Roman" w:cs="Calibri"/>
              </w:rPr>
              <w:t>25/02/2020</w:t>
            </w:r>
          </w:p>
        </w:tc>
        <w:tc>
          <w:tcPr>
            <w:tcW w:w="646" w:type="pct"/>
            <w:tcBorders>
              <w:top w:val="nil"/>
              <w:left w:val="nil"/>
              <w:bottom w:val="single" w:sz="4" w:space="0" w:color="auto"/>
              <w:right w:val="single" w:sz="4" w:space="0" w:color="auto"/>
            </w:tcBorders>
            <w:shd w:val="clear" w:color="auto" w:fill="auto"/>
            <w:vAlign w:val="center"/>
            <w:hideMark/>
          </w:tcPr>
          <w:p w:rsidR="00745826" w:rsidRPr="00000041" w:rsidRDefault="00745826" w:rsidP="00FE4DD9">
            <w:pPr>
              <w:jc w:val="center"/>
              <w:rPr>
                <w:rFonts w:eastAsia="Times New Roman" w:cs="Calibri"/>
              </w:rPr>
            </w:pPr>
            <w:r w:rsidRPr="00000041">
              <w:rPr>
                <w:rFonts w:eastAsia="Times New Roman" w:cs="Calibri"/>
              </w:rPr>
              <w:t>Contropar</w:t>
            </w:r>
            <w:r>
              <w:rPr>
                <w:rFonts w:eastAsia="Times New Roman" w:cs="Calibri"/>
              </w:rPr>
              <w:t>te</w:t>
            </w:r>
          </w:p>
        </w:tc>
      </w:tr>
    </w:tbl>
    <w:p w:rsidR="00745826" w:rsidRDefault="00745826" w:rsidP="00745826"/>
    <w:p w:rsidR="00745826" w:rsidRDefault="00745826" w:rsidP="00745826"/>
    <w:p w:rsidR="00745826" w:rsidRPr="00757BA7" w:rsidRDefault="00745826" w:rsidP="00745826">
      <w:pPr>
        <w:spacing w:after="120"/>
        <w:rPr>
          <w:rFonts w:cs="Times New Roman"/>
          <w:szCs w:val="24"/>
        </w:rPr>
      </w:pPr>
    </w:p>
    <w:p w:rsidR="008223F1" w:rsidRDefault="008223F1">
      <w:pPr>
        <w:rPr>
          <w:rFonts w:cs="Times New Roman"/>
          <w:szCs w:val="24"/>
        </w:rPr>
      </w:pPr>
    </w:p>
    <w:sectPr w:rsidR="008223F1" w:rsidSect="00B41B2E">
      <w:footerReference w:type="default" r:id="rId9"/>
      <w:pgSz w:w="16838" w:h="11906" w:orient="landscape" w:code="9"/>
      <w:pgMar w:top="1418" w:right="1418" w:bottom="1418"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280" w:rsidRDefault="001B3280" w:rsidP="00A32C60">
      <w:pPr>
        <w:spacing w:line="240" w:lineRule="auto"/>
      </w:pPr>
      <w:r>
        <w:separator/>
      </w:r>
    </w:p>
  </w:endnote>
  <w:endnote w:type="continuationSeparator" w:id="0">
    <w:p w:rsidR="001B3280" w:rsidRDefault="001B3280" w:rsidP="00A32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663027"/>
      <w:docPartObj>
        <w:docPartGallery w:val="Page Numbers (Bottom of Page)"/>
        <w:docPartUnique/>
      </w:docPartObj>
    </w:sdtPr>
    <w:sdtEndPr/>
    <w:sdtContent>
      <w:p w:rsidR="00FE4DD9" w:rsidRDefault="00FE4DD9">
        <w:pPr>
          <w:pStyle w:val="Pidipagina"/>
          <w:jc w:val="center"/>
        </w:pPr>
        <w:r>
          <w:fldChar w:fldCharType="begin"/>
        </w:r>
        <w:r>
          <w:instrText>PAGE   \* MERGEFORMAT</w:instrText>
        </w:r>
        <w:r>
          <w:fldChar w:fldCharType="separate"/>
        </w:r>
        <w:r w:rsidR="00E93105">
          <w:rPr>
            <w:noProof/>
          </w:rPr>
          <w:t>2</w:t>
        </w:r>
        <w:r>
          <w:fldChar w:fldCharType="end"/>
        </w:r>
      </w:p>
    </w:sdtContent>
  </w:sdt>
  <w:p w:rsidR="00FE4DD9" w:rsidRDefault="00FE4DD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224439"/>
      <w:docPartObj>
        <w:docPartGallery w:val="Page Numbers (Bottom of Page)"/>
        <w:docPartUnique/>
      </w:docPartObj>
    </w:sdtPr>
    <w:sdtEndPr/>
    <w:sdtContent>
      <w:p w:rsidR="00FE4DD9" w:rsidRDefault="00FE4DD9">
        <w:pPr>
          <w:pStyle w:val="Pidipagina"/>
          <w:jc w:val="center"/>
        </w:pPr>
        <w:r>
          <w:fldChar w:fldCharType="begin"/>
        </w:r>
        <w:r>
          <w:instrText>PAGE   \* MERGEFORMAT</w:instrText>
        </w:r>
        <w:r>
          <w:fldChar w:fldCharType="separate"/>
        </w:r>
        <w:r w:rsidR="00E93105">
          <w:rPr>
            <w:noProof/>
          </w:rPr>
          <w:t>22</w:t>
        </w:r>
        <w:r>
          <w:fldChar w:fldCharType="end"/>
        </w:r>
      </w:p>
    </w:sdtContent>
  </w:sdt>
  <w:p w:rsidR="00FE4DD9" w:rsidRDefault="00FE4D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280" w:rsidRDefault="001B3280" w:rsidP="00A32C60">
      <w:pPr>
        <w:spacing w:line="240" w:lineRule="auto"/>
      </w:pPr>
      <w:r>
        <w:separator/>
      </w:r>
    </w:p>
  </w:footnote>
  <w:footnote w:type="continuationSeparator" w:id="0">
    <w:p w:rsidR="001B3280" w:rsidRDefault="001B3280" w:rsidP="00A32C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DC7"/>
    <w:multiLevelType w:val="hybridMultilevel"/>
    <w:tmpl w:val="A9108022"/>
    <w:lvl w:ilvl="0" w:tplc="347022EA">
      <w:start w:val="1"/>
      <w:numFmt w:val="lowerLetter"/>
      <w:lvlText w:val="%1)"/>
      <w:lvlJc w:val="left"/>
      <w:pPr>
        <w:ind w:left="1080" w:hanging="360"/>
      </w:pPr>
      <w:rPr>
        <w:rFonts w:hint="default"/>
        <w:b w:val="0"/>
      </w:rPr>
    </w:lvl>
    <w:lvl w:ilvl="1" w:tplc="9FAE6254">
      <w:numFmt w:val="bullet"/>
      <w:lvlText w:val="-"/>
      <w:lvlJc w:val="left"/>
      <w:pPr>
        <w:ind w:left="1635" w:hanging="195"/>
      </w:pPr>
      <w:rPr>
        <w:rFonts w:ascii="Times New Roman" w:eastAsiaTheme="minorHAnsi" w:hAnsi="Times New Roman" w:cs="Times New Roman" w:hint="default"/>
        <w:sz w:val="24"/>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708678C"/>
    <w:multiLevelType w:val="hybridMultilevel"/>
    <w:tmpl w:val="11E4D87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B04AC7"/>
    <w:multiLevelType w:val="hybridMultilevel"/>
    <w:tmpl w:val="FB860896"/>
    <w:lvl w:ilvl="0" w:tplc="B1AA7620">
      <w:start w:val="1"/>
      <w:numFmt w:val="lowerLetter"/>
      <w:lvlText w:val="%1)"/>
      <w:lvlJc w:val="left"/>
      <w:pPr>
        <w:ind w:left="420" w:hanging="360"/>
      </w:pPr>
      <w:rPr>
        <w:rFonts w:hint="default"/>
        <w:b w:val="0"/>
        <w:color w:val="auto"/>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 w15:restartNumberingAfterBreak="0">
    <w:nsid w:val="0FA31A11"/>
    <w:multiLevelType w:val="hybridMultilevel"/>
    <w:tmpl w:val="76D649E2"/>
    <w:lvl w:ilvl="0" w:tplc="934E9E0A">
      <w:start w:val="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D260A1"/>
    <w:multiLevelType w:val="hybridMultilevel"/>
    <w:tmpl w:val="B14E7C0A"/>
    <w:lvl w:ilvl="0" w:tplc="0410001B">
      <w:start w:val="1"/>
      <w:numFmt w:val="lowerRoman"/>
      <w:lvlText w:val="%1."/>
      <w:lvlJc w:val="righ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 w15:restartNumberingAfterBreak="0">
    <w:nsid w:val="292111F2"/>
    <w:multiLevelType w:val="hybridMultilevel"/>
    <w:tmpl w:val="A9108022"/>
    <w:lvl w:ilvl="0" w:tplc="347022EA">
      <w:start w:val="1"/>
      <w:numFmt w:val="lowerLetter"/>
      <w:lvlText w:val="%1)"/>
      <w:lvlJc w:val="left"/>
      <w:pPr>
        <w:ind w:left="1080" w:hanging="360"/>
      </w:pPr>
      <w:rPr>
        <w:rFonts w:hint="default"/>
        <w:b w:val="0"/>
      </w:rPr>
    </w:lvl>
    <w:lvl w:ilvl="1" w:tplc="9FAE6254">
      <w:numFmt w:val="bullet"/>
      <w:lvlText w:val="-"/>
      <w:lvlJc w:val="left"/>
      <w:pPr>
        <w:ind w:left="1635" w:hanging="195"/>
      </w:pPr>
      <w:rPr>
        <w:rFonts w:ascii="Times New Roman" w:eastAsiaTheme="minorHAnsi" w:hAnsi="Times New Roman" w:cs="Times New Roman" w:hint="default"/>
        <w:sz w:val="24"/>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DD50946"/>
    <w:multiLevelType w:val="hybridMultilevel"/>
    <w:tmpl w:val="62FCEB60"/>
    <w:lvl w:ilvl="0" w:tplc="D062BFC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DB43B3"/>
    <w:multiLevelType w:val="hybridMultilevel"/>
    <w:tmpl w:val="E6A6F4DC"/>
    <w:lvl w:ilvl="0" w:tplc="0409001B">
      <w:start w:val="1"/>
      <w:numFmt w:val="lowerRoman"/>
      <w:lvlText w:val="%1."/>
      <w:lvlJc w:val="right"/>
      <w:pPr>
        <w:ind w:left="720" w:hanging="360"/>
      </w:pPr>
      <w:rPr>
        <w:rFont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AF7BCB"/>
    <w:multiLevelType w:val="hybridMultilevel"/>
    <w:tmpl w:val="F20A12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3276B3"/>
    <w:multiLevelType w:val="hybridMultilevel"/>
    <w:tmpl w:val="1E668850"/>
    <w:lvl w:ilvl="0" w:tplc="0409001B">
      <w:start w:val="1"/>
      <w:numFmt w:val="lowerRoman"/>
      <w:lvlText w:val="%1."/>
      <w:lvlJc w:val="right"/>
      <w:pPr>
        <w:ind w:left="1800" w:hanging="360"/>
      </w:pPr>
      <w:rPr>
        <w:rFonts w:cs="Times New Roman"/>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0" w15:restartNumberingAfterBreak="0">
    <w:nsid w:val="74C2128C"/>
    <w:multiLevelType w:val="hybridMultilevel"/>
    <w:tmpl w:val="6700D41C"/>
    <w:lvl w:ilvl="0" w:tplc="0409001B">
      <w:start w:val="1"/>
      <w:numFmt w:val="lowerRoman"/>
      <w:lvlText w:val="%1."/>
      <w:lvlJc w:val="right"/>
      <w:pPr>
        <w:ind w:left="1800" w:hanging="360"/>
      </w:pPr>
      <w:rPr>
        <w:rFonts w:cs="Times New Roman"/>
      </w:rPr>
    </w:lvl>
    <w:lvl w:ilvl="1" w:tplc="0410001B">
      <w:start w:val="1"/>
      <w:numFmt w:val="lowerRoman"/>
      <w:lvlText w:val="%2."/>
      <w:lvlJc w:val="righ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1" w15:restartNumberingAfterBreak="0">
    <w:nsid w:val="7BDF5FF5"/>
    <w:multiLevelType w:val="hybridMultilevel"/>
    <w:tmpl w:val="0A466C2E"/>
    <w:lvl w:ilvl="0" w:tplc="0409001B">
      <w:start w:val="1"/>
      <w:numFmt w:val="lowerRoman"/>
      <w:lvlText w:val="%1."/>
      <w:lvlJc w:val="right"/>
      <w:pPr>
        <w:ind w:left="1800" w:hanging="360"/>
      </w:pPr>
      <w:rPr>
        <w:rFonts w:cs="Times New Roman"/>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num w:numId="1">
    <w:abstractNumId w:val="1"/>
  </w:num>
  <w:num w:numId="2">
    <w:abstractNumId w:val="0"/>
  </w:num>
  <w:num w:numId="3">
    <w:abstractNumId w:val="10"/>
  </w:num>
  <w:num w:numId="4">
    <w:abstractNumId w:val="9"/>
  </w:num>
  <w:num w:numId="5">
    <w:abstractNumId w:val="11"/>
  </w:num>
  <w:num w:numId="6">
    <w:abstractNumId w:val="5"/>
  </w:num>
  <w:num w:numId="7">
    <w:abstractNumId w:val="6"/>
  </w:num>
  <w:num w:numId="8">
    <w:abstractNumId w:val="8"/>
  </w:num>
  <w:num w:numId="9">
    <w:abstractNumId w:val="3"/>
  </w:num>
  <w:num w:numId="10">
    <w:abstractNumId w:val="7"/>
  </w:num>
  <w:num w:numId="11">
    <w:abstractNumId w:val="4"/>
  </w:num>
  <w:num w:numId="12">
    <w:abstractNumId w:val="2"/>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7E"/>
    <w:rsid w:val="00001642"/>
    <w:rsid w:val="00002E79"/>
    <w:rsid w:val="0000507E"/>
    <w:rsid w:val="00007CC0"/>
    <w:rsid w:val="000123F7"/>
    <w:rsid w:val="00012805"/>
    <w:rsid w:val="00012C04"/>
    <w:rsid w:val="00013882"/>
    <w:rsid w:val="00022190"/>
    <w:rsid w:val="000273E0"/>
    <w:rsid w:val="00032088"/>
    <w:rsid w:val="00032778"/>
    <w:rsid w:val="000367ED"/>
    <w:rsid w:val="00042449"/>
    <w:rsid w:val="000434F4"/>
    <w:rsid w:val="0005095A"/>
    <w:rsid w:val="00054213"/>
    <w:rsid w:val="0005426F"/>
    <w:rsid w:val="00055EDC"/>
    <w:rsid w:val="00057DC7"/>
    <w:rsid w:val="0007679C"/>
    <w:rsid w:val="00083E31"/>
    <w:rsid w:val="0008407B"/>
    <w:rsid w:val="000865F2"/>
    <w:rsid w:val="00087809"/>
    <w:rsid w:val="00091135"/>
    <w:rsid w:val="00091B56"/>
    <w:rsid w:val="00091E96"/>
    <w:rsid w:val="000948D9"/>
    <w:rsid w:val="00095A38"/>
    <w:rsid w:val="000976FF"/>
    <w:rsid w:val="00097A91"/>
    <w:rsid w:val="00097CCF"/>
    <w:rsid w:val="00097DBB"/>
    <w:rsid w:val="000A15E9"/>
    <w:rsid w:val="000A4390"/>
    <w:rsid w:val="000A5555"/>
    <w:rsid w:val="000A5D98"/>
    <w:rsid w:val="000B0E46"/>
    <w:rsid w:val="000B2013"/>
    <w:rsid w:val="000B2D3D"/>
    <w:rsid w:val="000B51FA"/>
    <w:rsid w:val="000C1813"/>
    <w:rsid w:val="000C52D1"/>
    <w:rsid w:val="000C5D0B"/>
    <w:rsid w:val="000C6D49"/>
    <w:rsid w:val="000C7152"/>
    <w:rsid w:val="000D07D1"/>
    <w:rsid w:val="000D7664"/>
    <w:rsid w:val="000F0BBC"/>
    <w:rsid w:val="000F198E"/>
    <w:rsid w:val="000F21B0"/>
    <w:rsid w:val="000F630B"/>
    <w:rsid w:val="00100B83"/>
    <w:rsid w:val="00105C6D"/>
    <w:rsid w:val="00117F12"/>
    <w:rsid w:val="00125352"/>
    <w:rsid w:val="00127674"/>
    <w:rsid w:val="0012790C"/>
    <w:rsid w:val="00133798"/>
    <w:rsid w:val="00134E5B"/>
    <w:rsid w:val="00136334"/>
    <w:rsid w:val="00142E70"/>
    <w:rsid w:val="00144055"/>
    <w:rsid w:val="00146FD2"/>
    <w:rsid w:val="00150061"/>
    <w:rsid w:val="00150E66"/>
    <w:rsid w:val="00176036"/>
    <w:rsid w:val="001810CC"/>
    <w:rsid w:val="00184416"/>
    <w:rsid w:val="001A0DCE"/>
    <w:rsid w:val="001A2AAE"/>
    <w:rsid w:val="001A6547"/>
    <w:rsid w:val="001A6BB3"/>
    <w:rsid w:val="001B2CEE"/>
    <w:rsid w:val="001B3280"/>
    <w:rsid w:val="001C1C35"/>
    <w:rsid w:val="001C280B"/>
    <w:rsid w:val="001C2C57"/>
    <w:rsid w:val="001C75A1"/>
    <w:rsid w:val="001C7F29"/>
    <w:rsid w:val="001D0038"/>
    <w:rsid w:val="001D1916"/>
    <w:rsid w:val="001D1E62"/>
    <w:rsid w:val="001D1EC7"/>
    <w:rsid w:val="001E1707"/>
    <w:rsid w:val="001E21B1"/>
    <w:rsid w:val="001E2619"/>
    <w:rsid w:val="001E2AB1"/>
    <w:rsid w:val="001E4F09"/>
    <w:rsid w:val="001F0367"/>
    <w:rsid w:val="001F0966"/>
    <w:rsid w:val="001F25D7"/>
    <w:rsid w:val="001F3B68"/>
    <w:rsid w:val="0020798C"/>
    <w:rsid w:val="00215134"/>
    <w:rsid w:val="00215C69"/>
    <w:rsid w:val="00226DFA"/>
    <w:rsid w:val="002302F9"/>
    <w:rsid w:val="00246C2B"/>
    <w:rsid w:val="00247E10"/>
    <w:rsid w:val="00250AD9"/>
    <w:rsid w:val="002540BF"/>
    <w:rsid w:val="00254895"/>
    <w:rsid w:val="0025490C"/>
    <w:rsid w:val="00255EB1"/>
    <w:rsid w:val="0026028C"/>
    <w:rsid w:val="0026034B"/>
    <w:rsid w:val="00264E7F"/>
    <w:rsid w:val="00272E94"/>
    <w:rsid w:val="00274B53"/>
    <w:rsid w:val="0027793B"/>
    <w:rsid w:val="0028593F"/>
    <w:rsid w:val="002876EE"/>
    <w:rsid w:val="002914EC"/>
    <w:rsid w:val="00296BAD"/>
    <w:rsid w:val="002A1629"/>
    <w:rsid w:val="002B3487"/>
    <w:rsid w:val="002B74C0"/>
    <w:rsid w:val="002C30DF"/>
    <w:rsid w:val="002D0DAE"/>
    <w:rsid w:val="002D658E"/>
    <w:rsid w:val="002D778E"/>
    <w:rsid w:val="002D7EBA"/>
    <w:rsid w:val="002E0967"/>
    <w:rsid w:val="002E7842"/>
    <w:rsid w:val="002E7D67"/>
    <w:rsid w:val="002F15B0"/>
    <w:rsid w:val="002F1E10"/>
    <w:rsid w:val="002F1FC7"/>
    <w:rsid w:val="002F5D69"/>
    <w:rsid w:val="002F739F"/>
    <w:rsid w:val="00304C1F"/>
    <w:rsid w:val="003101ED"/>
    <w:rsid w:val="00312404"/>
    <w:rsid w:val="00314337"/>
    <w:rsid w:val="00317E52"/>
    <w:rsid w:val="00322E21"/>
    <w:rsid w:val="00326DDC"/>
    <w:rsid w:val="003308A1"/>
    <w:rsid w:val="00335AC2"/>
    <w:rsid w:val="00337687"/>
    <w:rsid w:val="00337B25"/>
    <w:rsid w:val="00342380"/>
    <w:rsid w:val="003432D3"/>
    <w:rsid w:val="00353955"/>
    <w:rsid w:val="003549F3"/>
    <w:rsid w:val="0035657A"/>
    <w:rsid w:val="003641EB"/>
    <w:rsid w:val="003662F5"/>
    <w:rsid w:val="00367024"/>
    <w:rsid w:val="003672CE"/>
    <w:rsid w:val="00374F70"/>
    <w:rsid w:val="00385E7F"/>
    <w:rsid w:val="00393398"/>
    <w:rsid w:val="003A457D"/>
    <w:rsid w:val="003A72A6"/>
    <w:rsid w:val="003B25A5"/>
    <w:rsid w:val="003B5FBE"/>
    <w:rsid w:val="003B7B0E"/>
    <w:rsid w:val="003C010A"/>
    <w:rsid w:val="003C06A8"/>
    <w:rsid w:val="003C5546"/>
    <w:rsid w:val="003D00B9"/>
    <w:rsid w:val="003E11E5"/>
    <w:rsid w:val="003E32AC"/>
    <w:rsid w:val="003F00FF"/>
    <w:rsid w:val="003F372C"/>
    <w:rsid w:val="003F6324"/>
    <w:rsid w:val="00404D2F"/>
    <w:rsid w:val="00414CA1"/>
    <w:rsid w:val="00434135"/>
    <w:rsid w:val="00435494"/>
    <w:rsid w:val="00447A30"/>
    <w:rsid w:val="004503B8"/>
    <w:rsid w:val="00464E67"/>
    <w:rsid w:val="0047187A"/>
    <w:rsid w:val="0047532F"/>
    <w:rsid w:val="0047595C"/>
    <w:rsid w:val="0048378D"/>
    <w:rsid w:val="00484335"/>
    <w:rsid w:val="00497F24"/>
    <w:rsid w:val="004B05C1"/>
    <w:rsid w:val="004C184D"/>
    <w:rsid w:val="004C1942"/>
    <w:rsid w:val="004C1AD3"/>
    <w:rsid w:val="004C2C65"/>
    <w:rsid w:val="004C4F60"/>
    <w:rsid w:val="004C5856"/>
    <w:rsid w:val="004C6394"/>
    <w:rsid w:val="004F01ED"/>
    <w:rsid w:val="004F0D78"/>
    <w:rsid w:val="004F101E"/>
    <w:rsid w:val="004F5B26"/>
    <w:rsid w:val="00510304"/>
    <w:rsid w:val="00510392"/>
    <w:rsid w:val="005271C7"/>
    <w:rsid w:val="005314C1"/>
    <w:rsid w:val="00532ABB"/>
    <w:rsid w:val="00541981"/>
    <w:rsid w:val="005428CE"/>
    <w:rsid w:val="00546621"/>
    <w:rsid w:val="005466AF"/>
    <w:rsid w:val="00550B16"/>
    <w:rsid w:val="00555B65"/>
    <w:rsid w:val="00560E3C"/>
    <w:rsid w:val="00562D7E"/>
    <w:rsid w:val="0056477C"/>
    <w:rsid w:val="00564BC2"/>
    <w:rsid w:val="00565B7E"/>
    <w:rsid w:val="00572F61"/>
    <w:rsid w:val="0057549E"/>
    <w:rsid w:val="00575A1F"/>
    <w:rsid w:val="005764DF"/>
    <w:rsid w:val="0058213C"/>
    <w:rsid w:val="00584772"/>
    <w:rsid w:val="00593AE6"/>
    <w:rsid w:val="00597BB5"/>
    <w:rsid w:val="005A236E"/>
    <w:rsid w:val="005A44F6"/>
    <w:rsid w:val="005A4F20"/>
    <w:rsid w:val="005A6B3D"/>
    <w:rsid w:val="005B4463"/>
    <w:rsid w:val="005C0702"/>
    <w:rsid w:val="005C1437"/>
    <w:rsid w:val="005D489D"/>
    <w:rsid w:val="005D731C"/>
    <w:rsid w:val="005E1EB1"/>
    <w:rsid w:val="005E21EB"/>
    <w:rsid w:val="005F2012"/>
    <w:rsid w:val="005F2F3B"/>
    <w:rsid w:val="005F5199"/>
    <w:rsid w:val="005F5332"/>
    <w:rsid w:val="005F5B0C"/>
    <w:rsid w:val="00601ED2"/>
    <w:rsid w:val="00604B2C"/>
    <w:rsid w:val="00606813"/>
    <w:rsid w:val="006118C1"/>
    <w:rsid w:val="006147E5"/>
    <w:rsid w:val="0062773C"/>
    <w:rsid w:val="00627776"/>
    <w:rsid w:val="0063146B"/>
    <w:rsid w:val="00631E15"/>
    <w:rsid w:val="00634570"/>
    <w:rsid w:val="00634EB0"/>
    <w:rsid w:val="006450D1"/>
    <w:rsid w:val="0064625E"/>
    <w:rsid w:val="00650F78"/>
    <w:rsid w:val="00653643"/>
    <w:rsid w:val="006555E9"/>
    <w:rsid w:val="00656C5C"/>
    <w:rsid w:val="006608F5"/>
    <w:rsid w:val="00660A34"/>
    <w:rsid w:val="00665BD7"/>
    <w:rsid w:val="006676B0"/>
    <w:rsid w:val="00671AA6"/>
    <w:rsid w:val="00671F66"/>
    <w:rsid w:val="0067297D"/>
    <w:rsid w:val="006764BD"/>
    <w:rsid w:val="00686FCE"/>
    <w:rsid w:val="0069203F"/>
    <w:rsid w:val="006A0418"/>
    <w:rsid w:val="006A1B67"/>
    <w:rsid w:val="006A2FC9"/>
    <w:rsid w:val="006A70ED"/>
    <w:rsid w:val="006B5C78"/>
    <w:rsid w:val="006B75E3"/>
    <w:rsid w:val="006C5E54"/>
    <w:rsid w:val="006D084A"/>
    <w:rsid w:val="006D0FE7"/>
    <w:rsid w:val="006D3B70"/>
    <w:rsid w:val="006E23F7"/>
    <w:rsid w:val="007006E0"/>
    <w:rsid w:val="00702F2B"/>
    <w:rsid w:val="007047A4"/>
    <w:rsid w:val="007070AA"/>
    <w:rsid w:val="00710BB9"/>
    <w:rsid w:val="00712DB2"/>
    <w:rsid w:val="0071411D"/>
    <w:rsid w:val="007159E9"/>
    <w:rsid w:val="0072239F"/>
    <w:rsid w:val="00722E87"/>
    <w:rsid w:val="00726F93"/>
    <w:rsid w:val="0072784E"/>
    <w:rsid w:val="00727E41"/>
    <w:rsid w:val="00730034"/>
    <w:rsid w:val="00730180"/>
    <w:rsid w:val="0073694E"/>
    <w:rsid w:val="00743E20"/>
    <w:rsid w:val="00744656"/>
    <w:rsid w:val="00744A3D"/>
    <w:rsid w:val="00745826"/>
    <w:rsid w:val="007511A9"/>
    <w:rsid w:val="00752D06"/>
    <w:rsid w:val="0075567B"/>
    <w:rsid w:val="00757BA7"/>
    <w:rsid w:val="00761096"/>
    <w:rsid w:val="007612FD"/>
    <w:rsid w:val="007622D1"/>
    <w:rsid w:val="00762876"/>
    <w:rsid w:val="0076412F"/>
    <w:rsid w:val="00765439"/>
    <w:rsid w:val="00767AA1"/>
    <w:rsid w:val="0077786D"/>
    <w:rsid w:val="00780739"/>
    <w:rsid w:val="0078575A"/>
    <w:rsid w:val="00786B16"/>
    <w:rsid w:val="00792F4D"/>
    <w:rsid w:val="0079602E"/>
    <w:rsid w:val="007C12C6"/>
    <w:rsid w:val="007C3CAA"/>
    <w:rsid w:val="007C56AF"/>
    <w:rsid w:val="007D0715"/>
    <w:rsid w:val="007D298B"/>
    <w:rsid w:val="007D3F3B"/>
    <w:rsid w:val="007D4790"/>
    <w:rsid w:val="007D5D23"/>
    <w:rsid w:val="007D7677"/>
    <w:rsid w:val="007E0656"/>
    <w:rsid w:val="007E08BD"/>
    <w:rsid w:val="007E2E26"/>
    <w:rsid w:val="007E3BD5"/>
    <w:rsid w:val="007E7AEC"/>
    <w:rsid w:val="007F389A"/>
    <w:rsid w:val="008049A4"/>
    <w:rsid w:val="008076E4"/>
    <w:rsid w:val="008139B2"/>
    <w:rsid w:val="008223F1"/>
    <w:rsid w:val="00823191"/>
    <w:rsid w:val="008231BB"/>
    <w:rsid w:val="0082377E"/>
    <w:rsid w:val="00824AB1"/>
    <w:rsid w:val="00851F24"/>
    <w:rsid w:val="0085290B"/>
    <w:rsid w:val="008658CB"/>
    <w:rsid w:val="00872D76"/>
    <w:rsid w:val="0087357D"/>
    <w:rsid w:val="0087560E"/>
    <w:rsid w:val="00882FDA"/>
    <w:rsid w:val="00884C71"/>
    <w:rsid w:val="00887ABA"/>
    <w:rsid w:val="00891BDB"/>
    <w:rsid w:val="008B203B"/>
    <w:rsid w:val="008C2579"/>
    <w:rsid w:val="008C3EF4"/>
    <w:rsid w:val="008C7EA4"/>
    <w:rsid w:val="008D2F41"/>
    <w:rsid w:val="008E1115"/>
    <w:rsid w:val="008E52E3"/>
    <w:rsid w:val="008F2A4E"/>
    <w:rsid w:val="008F39EE"/>
    <w:rsid w:val="00913013"/>
    <w:rsid w:val="009153D9"/>
    <w:rsid w:val="00915920"/>
    <w:rsid w:val="00922D36"/>
    <w:rsid w:val="00924D8F"/>
    <w:rsid w:val="009251A9"/>
    <w:rsid w:val="00930121"/>
    <w:rsid w:val="00930177"/>
    <w:rsid w:val="009305EA"/>
    <w:rsid w:val="00931360"/>
    <w:rsid w:val="00934DEC"/>
    <w:rsid w:val="00935C72"/>
    <w:rsid w:val="00941F00"/>
    <w:rsid w:val="0094207F"/>
    <w:rsid w:val="0094575C"/>
    <w:rsid w:val="00945F7D"/>
    <w:rsid w:val="0094693A"/>
    <w:rsid w:val="0094695C"/>
    <w:rsid w:val="009534DF"/>
    <w:rsid w:val="00953534"/>
    <w:rsid w:val="00957437"/>
    <w:rsid w:val="0096103D"/>
    <w:rsid w:val="00961422"/>
    <w:rsid w:val="00965F85"/>
    <w:rsid w:val="00966E91"/>
    <w:rsid w:val="00971241"/>
    <w:rsid w:val="00971ABE"/>
    <w:rsid w:val="0097401A"/>
    <w:rsid w:val="009772C4"/>
    <w:rsid w:val="00981D82"/>
    <w:rsid w:val="00986379"/>
    <w:rsid w:val="0098645C"/>
    <w:rsid w:val="00986C63"/>
    <w:rsid w:val="00992DE2"/>
    <w:rsid w:val="00994243"/>
    <w:rsid w:val="009A2771"/>
    <w:rsid w:val="009A2F3B"/>
    <w:rsid w:val="009C020B"/>
    <w:rsid w:val="009C6180"/>
    <w:rsid w:val="009D4B89"/>
    <w:rsid w:val="009D659A"/>
    <w:rsid w:val="009D7928"/>
    <w:rsid w:val="009E3350"/>
    <w:rsid w:val="009F28ED"/>
    <w:rsid w:val="00A048AF"/>
    <w:rsid w:val="00A04AB2"/>
    <w:rsid w:val="00A066BC"/>
    <w:rsid w:val="00A1065D"/>
    <w:rsid w:val="00A1076A"/>
    <w:rsid w:val="00A11A5B"/>
    <w:rsid w:val="00A11E64"/>
    <w:rsid w:val="00A13175"/>
    <w:rsid w:val="00A17D02"/>
    <w:rsid w:val="00A22CE2"/>
    <w:rsid w:val="00A32C60"/>
    <w:rsid w:val="00A331CD"/>
    <w:rsid w:val="00A3441C"/>
    <w:rsid w:val="00A3461C"/>
    <w:rsid w:val="00A43B8B"/>
    <w:rsid w:val="00A43DF1"/>
    <w:rsid w:val="00A43F69"/>
    <w:rsid w:val="00A44E99"/>
    <w:rsid w:val="00A47493"/>
    <w:rsid w:val="00A5330D"/>
    <w:rsid w:val="00A55365"/>
    <w:rsid w:val="00A56DAC"/>
    <w:rsid w:val="00A577C5"/>
    <w:rsid w:val="00A66184"/>
    <w:rsid w:val="00A7650B"/>
    <w:rsid w:val="00A770A6"/>
    <w:rsid w:val="00A774F8"/>
    <w:rsid w:val="00A84060"/>
    <w:rsid w:val="00A91BA5"/>
    <w:rsid w:val="00A924DF"/>
    <w:rsid w:val="00AA1271"/>
    <w:rsid w:val="00AA1D73"/>
    <w:rsid w:val="00AA2584"/>
    <w:rsid w:val="00AA4EAA"/>
    <w:rsid w:val="00AA5583"/>
    <w:rsid w:val="00AB41E4"/>
    <w:rsid w:val="00AB6B88"/>
    <w:rsid w:val="00AB7CA4"/>
    <w:rsid w:val="00AC2364"/>
    <w:rsid w:val="00AC39A7"/>
    <w:rsid w:val="00AC436D"/>
    <w:rsid w:val="00AC6B7F"/>
    <w:rsid w:val="00AD1E4F"/>
    <w:rsid w:val="00AD59C4"/>
    <w:rsid w:val="00AD60E7"/>
    <w:rsid w:val="00AE276C"/>
    <w:rsid w:val="00AE7853"/>
    <w:rsid w:val="00AF02C4"/>
    <w:rsid w:val="00AF6AC3"/>
    <w:rsid w:val="00B00248"/>
    <w:rsid w:val="00B03738"/>
    <w:rsid w:val="00B0510A"/>
    <w:rsid w:val="00B17FE6"/>
    <w:rsid w:val="00B229B4"/>
    <w:rsid w:val="00B22CE6"/>
    <w:rsid w:val="00B24A5E"/>
    <w:rsid w:val="00B317BD"/>
    <w:rsid w:val="00B32158"/>
    <w:rsid w:val="00B354A6"/>
    <w:rsid w:val="00B36F61"/>
    <w:rsid w:val="00B37194"/>
    <w:rsid w:val="00B41B2E"/>
    <w:rsid w:val="00B42178"/>
    <w:rsid w:val="00B426AE"/>
    <w:rsid w:val="00B432C5"/>
    <w:rsid w:val="00B47427"/>
    <w:rsid w:val="00B52093"/>
    <w:rsid w:val="00B53013"/>
    <w:rsid w:val="00B54649"/>
    <w:rsid w:val="00B56253"/>
    <w:rsid w:val="00B6002A"/>
    <w:rsid w:val="00B6123C"/>
    <w:rsid w:val="00B63379"/>
    <w:rsid w:val="00B6359E"/>
    <w:rsid w:val="00B6470D"/>
    <w:rsid w:val="00B654E3"/>
    <w:rsid w:val="00B66168"/>
    <w:rsid w:val="00B7281B"/>
    <w:rsid w:val="00B860A9"/>
    <w:rsid w:val="00B86797"/>
    <w:rsid w:val="00B943B6"/>
    <w:rsid w:val="00B95EC6"/>
    <w:rsid w:val="00B97D6A"/>
    <w:rsid w:val="00BA0063"/>
    <w:rsid w:val="00BA23E3"/>
    <w:rsid w:val="00BA65EE"/>
    <w:rsid w:val="00BA7614"/>
    <w:rsid w:val="00BB2D7E"/>
    <w:rsid w:val="00BB7C00"/>
    <w:rsid w:val="00BC646C"/>
    <w:rsid w:val="00BC6A36"/>
    <w:rsid w:val="00BC749A"/>
    <w:rsid w:val="00BD47E4"/>
    <w:rsid w:val="00BD63B9"/>
    <w:rsid w:val="00BE0E50"/>
    <w:rsid w:val="00BE150C"/>
    <w:rsid w:val="00BE214A"/>
    <w:rsid w:val="00BE4B35"/>
    <w:rsid w:val="00BE63D4"/>
    <w:rsid w:val="00BF7533"/>
    <w:rsid w:val="00C01AF5"/>
    <w:rsid w:val="00C12843"/>
    <w:rsid w:val="00C203C0"/>
    <w:rsid w:val="00C23A6B"/>
    <w:rsid w:val="00C247BE"/>
    <w:rsid w:val="00C326D0"/>
    <w:rsid w:val="00C33FE2"/>
    <w:rsid w:val="00C37939"/>
    <w:rsid w:val="00C40F6B"/>
    <w:rsid w:val="00C4192D"/>
    <w:rsid w:val="00C424DD"/>
    <w:rsid w:val="00C42D6E"/>
    <w:rsid w:val="00C456B8"/>
    <w:rsid w:val="00C46C37"/>
    <w:rsid w:val="00C47DED"/>
    <w:rsid w:val="00C51587"/>
    <w:rsid w:val="00C57919"/>
    <w:rsid w:val="00C657E3"/>
    <w:rsid w:val="00C66B13"/>
    <w:rsid w:val="00C67A0F"/>
    <w:rsid w:val="00C76415"/>
    <w:rsid w:val="00C7765F"/>
    <w:rsid w:val="00C82A94"/>
    <w:rsid w:val="00C92D8E"/>
    <w:rsid w:val="00CA10CC"/>
    <w:rsid w:val="00CA7A77"/>
    <w:rsid w:val="00CA7E30"/>
    <w:rsid w:val="00CB06C0"/>
    <w:rsid w:val="00CB1FC9"/>
    <w:rsid w:val="00CB7345"/>
    <w:rsid w:val="00CC14CA"/>
    <w:rsid w:val="00CC7825"/>
    <w:rsid w:val="00CD3870"/>
    <w:rsid w:val="00CD4BE9"/>
    <w:rsid w:val="00CE67A0"/>
    <w:rsid w:val="00CE767E"/>
    <w:rsid w:val="00CF24FD"/>
    <w:rsid w:val="00CF42D9"/>
    <w:rsid w:val="00CF503F"/>
    <w:rsid w:val="00CF7DA1"/>
    <w:rsid w:val="00CF7F9D"/>
    <w:rsid w:val="00D018DF"/>
    <w:rsid w:val="00D03C6F"/>
    <w:rsid w:val="00D1387D"/>
    <w:rsid w:val="00D24AA0"/>
    <w:rsid w:val="00D30CF7"/>
    <w:rsid w:val="00D30F14"/>
    <w:rsid w:val="00D346BA"/>
    <w:rsid w:val="00D35970"/>
    <w:rsid w:val="00D3792B"/>
    <w:rsid w:val="00D40D69"/>
    <w:rsid w:val="00D44651"/>
    <w:rsid w:val="00D550E1"/>
    <w:rsid w:val="00D608D5"/>
    <w:rsid w:val="00D61D59"/>
    <w:rsid w:val="00D63BE4"/>
    <w:rsid w:val="00D72B53"/>
    <w:rsid w:val="00D76394"/>
    <w:rsid w:val="00D77179"/>
    <w:rsid w:val="00D82364"/>
    <w:rsid w:val="00D9250B"/>
    <w:rsid w:val="00D946D3"/>
    <w:rsid w:val="00DA5106"/>
    <w:rsid w:val="00DB3122"/>
    <w:rsid w:val="00DC26CC"/>
    <w:rsid w:val="00DD4473"/>
    <w:rsid w:val="00DD6278"/>
    <w:rsid w:val="00DE254B"/>
    <w:rsid w:val="00DE43CC"/>
    <w:rsid w:val="00DE4427"/>
    <w:rsid w:val="00DE7B83"/>
    <w:rsid w:val="00DF011B"/>
    <w:rsid w:val="00DF2A05"/>
    <w:rsid w:val="00E01EF0"/>
    <w:rsid w:val="00E03F3F"/>
    <w:rsid w:val="00E049D3"/>
    <w:rsid w:val="00E056D8"/>
    <w:rsid w:val="00E104EA"/>
    <w:rsid w:val="00E10D6D"/>
    <w:rsid w:val="00E121D0"/>
    <w:rsid w:val="00E15A47"/>
    <w:rsid w:val="00E240B4"/>
    <w:rsid w:val="00E2716F"/>
    <w:rsid w:val="00E365EE"/>
    <w:rsid w:val="00E37032"/>
    <w:rsid w:val="00E402F2"/>
    <w:rsid w:val="00E44978"/>
    <w:rsid w:val="00E47032"/>
    <w:rsid w:val="00E506C3"/>
    <w:rsid w:val="00E5398B"/>
    <w:rsid w:val="00E57A1C"/>
    <w:rsid w:val="00E61DFD"/>
    <w:rsid w:val="00E73B92"/>
    <w:rsid w:val="00E74922"/>
    <w:rsid w:val="00E756D2"/>
    <w:rsid w:val="00E75F4F"/>
    <w:rsid w:val="00E841A8"/>
    <w:rsid w:val="00E907F1"/>
    <w:rsid w:val="00E913B4"/>
    <w:rsid w:val="00E93105"/>
    <w:rsid w:val="00E95DB0"/>
    <w:rsid w:val="00E97224"/>
    <w:rsid w:val="00EA2745"/>
    <w:rsid w:val="00EA38FB"/>
    <w:rsid w:val="00EA5FE6"/>
    <w:rsid w:val="00EB385D"/>
    <w:rsid w:val="00EB5316"/>
    <w:rsid w:val="00EB7BF9"/>
    <w:rsid w:val="00EC2F9C"/>
    <w:rsid w:val="00EC72D8"/>
    <w:rsid w:val="00EE040F"/>
    <w:rsid w:val="00EE1A5F"/>
    <w:rsid w:val="00EE2677"/>
    <w:rsid w:val="00EE4EB3"/>
    <w:rsid w:val="00EE5701"/>
    <w:rsid w:val="00EE7763"/>
    <w:rsid w:val="00EF7C0F"/>
    <w:rsid w:val="00F0391D"/>
    <w:rsid w:val="00F0442C"/>
    <w:rsid w:val="00F051FE"/>
    <w:rsid w:val="00F104D4"/>
    <w:rsid w:val="00F1226C"/>
    <w:rsid w:val="00F14C12"/>
    <w:rsid w:val="00F17D8A"/>
    <w:rsid w:val="00F21764"/>
    <w:rsid w:val="00F23342"/>
    <w:rsid w:val="00F25A67"/>
    <w:rsid w:val="00F264A6"/>
    <w:rsid w:val="00F3024D"/>
    <w:rsid w:val="00F3201E"/>
    <w:rsid w:val="00F33758"/>
    <w:rsid w:val="00F33E65"/>
    <w:rsid w:val="00F3410E"/>
    <w:rsid w:val="00F351F8"/>
    <w:rsid w:val="00F42B89"/>
    <w:rsid w:val="00F515F8"/>
    <w:rsid w:val="00F528E9"/>
    <w:rsid w:val="00F719AE"/>
    <w:rsid w:val="00F828ED"/>
    <w:rsid w:val="00F8297E"/>
    <w:rsid w:val="00F854D6"/>
    <w:rsid w:val="00F91174"/>
    <w:rsid w:val="00F94EE1"/>
    <w:rsid w:val="00F95F15"/>
    <w:rsid w:val="00FA0DDB"/>
    <w:rsid w:val="00FA2BA0"/>
    <w:rsid w:val="00FA56E1"/>
    <w:rsid w:val="00FA5CFF"/>
    <w:rsid w:val="00FB0A79"/>
    <w:rsid w:val="00FB797A"/>
    <w:rsid w:val="00FC14D6"/>
    <w:rsid w:val="00FC1D13"/>
    <w:rsid w:val="00FC749A"/>
    <w:rsid w:val="00FD0A16"/>
    <w:rsid w:val="00FD3E8A"/>
    <w:rsid w:val="00FE07A0"/>
    <w:rsid w:val="00FE111D"/>
    <w:rsid w:val="00FE3384"/>
    <w:rsid w:val="00FE3488"/>
    <w:rsid w:val="00FE4DD9"/>
    <w:rsid w:val="00FE58F7"/>
    <w:rsid w:val="00FE6E8C"/>
    <w:rsid w:val="00FF06A9"/>
    <w:rsid w:val="00FF1927"/>
    <w:rsid w:val="00FF1BE5"/>
    <w:rsid w:val="00FF2E0C"/>
    <w:rsid w:val="00FF30C0"/>
    <w:rsid w:val="00FF4907"/>
    <w:rsid w:val="00FF7E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B01EE-1CB8-450D-A922-66DB587C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it-I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A32C60"/>
    <w:rPr>
      <w:sz w:val="16"/>
      <w:szCs w:val="16"/>
    </w:rPr>
  </w:style>
  <w:style w:type="paragraph" w:styleId="Testocommento">
    <w:name w:val="annotation text"/>
    <w:basedOn w:val="Normale"/>
    <w:link w:val="TestocommentoCarattere"/>
    <w:uiPriority w:val="99"/>
    <w:semiHidden/>
    <w:unhideWhenUsed/>
    <w:rsid w:val="00A32C6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32C60"/>
    <w:rPr>
      <w:sz w:val="20"/>
      <w:szCs w:val="20"/>
    </w:rPr>
  </w:style>
  <w:style w:type="paragraph" w:styleId="Intestazione">
    <w:name w:val="header"/>
    <w:basedOn w:val="Normale"/>
    <w:link w:val="IntestazioneCarattere"/>
    <w:uiPriority w:val="99"/>
    <w:unhideWhenUsed/>
    <w:rsid w:val="00A32C6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32C60"/>
  </w:style>
  <w:style w:type="paragraph" w:styleId="Pidipagina">
    <w:name w:val="footer"/>
    <w:basedOn w:val="Normale"/>
    <w:link w:val="PidipaginaCarattere"/>
    <w:uiPriority w:val="99"/>
    <w:unhideWhenUsed/>
    <w:rsid w:val="00A32C6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32C60"/>
  </w:style>
  <w:style w:type="paragraph" w:styleId="Testonotaapidipagina">
    <w:name w:val="footnote text"/>
    <w:basedOn w:val="Normale"/>
    <w:link w:val="TestonotaapidipaginaCarattere"/>
    <w:uiPriority w:val="99"/>
    <w:semiHidden/>
    <w:unhideWhenUsed/>
    <w:rsid w:val="00A32C60"/>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32C60"/>
    <w:rPr>
      <w:sz w:val="20"/>
      <w:szCs w:val="20"/>
    </w:rPr>
  </w:style>
  <w:style w:type="character" w:styleId="Rimandonotaapidipagina">
    <w:name w:val="footnote reference"/>
    <w:basedOn w:val="Carpredefinitoparagrafo"/>
    <w:uiPriority w:val="99"/>
    <w:semiHidden/>
    <w:unhideWhenUsed/>
    <w:rsid w:val="00A32C60"/>
    <w:rPr>
      <w:vertAlign w:val="superscript"/>
    </w:rPr>
  </w:style>
  <w:style w:type="paragraph" w:styleId="Paragrafoelenco">
    <w:name w:val="List Paragraph"/>
    <w:basedOn w:val="Normale"/>
    <w:uiPriority w:val="34"/>
    <w:qFormat/>
    <w:rsid w:val="00314337"/>
    <w:pPr>
      <w:spacing w:after="160" w:line="259" w:lineRule="auto"/>
      <w:ind w:left="720"/>
      <w:contextualSpacing/>
      <w:jc w:val="left"/>
    </w:pPr>
    <w:rPr>
      <w:rFonts w:asciiTheme="minorHAnsi" w:hAnsiTheme="minorHAnsi"/>
      <w:sz w:val="22"/>
    </w:rPr>
  </w:style>
  <w:style w:type="paragraph" w:styleId="Revisione">
    <w:name w:val="Revision"/>
    <w:hidden/>
    <w:uiPriority w:val="99"/>
    <w:semiHidden/>
    <w:rsid w:val="0069203F"/>
    <w:pPr>
      <w:spacing w:line="240" w:lineRule="auto"/>
      <w:jc w:val="left"/>
    </w:pPr>
  </w:style>
  <w:style w:type="paragraph" w:styleId="Testofumetto">
    <w:name w:val="Balloon Text"/>
    <w:basedOn w:val="Normale"/>
    <w:link w:val="TestofumettoCarattere"/>
    <w:uiPriority w:val="99"/>
    <w:semiHidden/>
    <w:unhideWhenUsed/>
    <w:rsid w:val="0069203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203F"/>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4C6394"/>
    <w:rPr>
      <w:b/>
      <w:bCs/>
    </w:rPr>
  </w:style>
  <w:style w:type="character" w:customStyle="1" w:styleId="SoggettocommentoCarattere">
    <w:name w:val="Soggetto commento Carattere"/>
    <w:basedOn w:val="TestocommentoCarattere"/>
    <w:link w:val="Soggettocommento"/>
    <w:uiPriority w:val="99"/>
    <w:semiHidden/>
    <w:rsid w:val="004C6394"/>
    <w:rPr>
      <w:b/>
      <w:bCs/>
      <w:sz w:val="20"/>
      <w:szCs w:val="20"/>
    </w:rPr>
  </w:style>
  <w:style w:type="paragraph" w:styleId="NormaleWeb">
    <w:name w:val="Normal (Web)"/>
    <w:basedOn w:val="Normale"/>
    <w:uiPriority w:val="99"/>
    <w:semiHidden/>
    <w:unhideWhenUsed/>
    <w:rsid w:val="00296BAD"/>
    <w:pPr>
      <w:spacing w:line="240" w:lineRule="auto"/>
      <w:jc w:val="left"/>
    </w:pPr>
    <w:rPr>
      <w:rFonts w:eastAsia="Times New Roman" w:cs="Times New Roman"/>
      <w:szCs w:val="24"/>
      <w:lang w:eastAsia="it-IT"/>
    </w:rPr>
  </w:style>
  <w:style w:type="character" w:customStyle="1" w:styleId="msoins0">
    <w:name w:val="msoins"/>
    <w:basedOn w:val="Carpredefinitoparagrafo"/>
    <w:rsid w:val="0029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8127">
      <w:bodyDiv w:val="1"/>
      <w:marLeft w:val="0"/>
      <w:marRight w:val="0"/>
      <w:marTop w:val="0"/>
      <w:marBottom w:val="0"/>
      <w:divBdr>
        <w:top w:val="none" w:sz="0" w:space="0" w:color="auto"/>
        <w:left w:val="none" w:sz="0" w:space="0" w:color="auto"/>
        <w:bottom w:val="none" w:sz="0" w:space="0" w:color="auto"/>
        <w:right w:val="none" w:sz="0" w:space="0" w:color="auto"/>
      </w:divBdr>
    </w:div>
    <w:div w:id="212159374">
      <w:bodyDiv w:val="1"/>
      <w:marLeft w:val="0"/>
      <w:marRight w:val="0"/>
      <w:marTop w:val="0"/>
      <w:marBottom w:val="0"/>
      <w:divBdr>
        <w:top w:val="none" w:sz="0" w:space="0" w:color="auto"/>
        <w:left w:val="none" w:sz="0" w:space="0" w:color="auto"/>
        <w:bottom w:val="none" w:sz="0" w:space="0" w:color="auto"/>
        <w:right w:val="none" w:sz="0" w:space="0" w:color="auto"/>
      </w:divBdr>
    </w:div>
    <w:div w:id="791754232">
      <w:bodyDiv w:val="1"/>
      <w:marLeft w:val="0"/>
      <w:marRight w:val="0"/>
      <w:marTop w:val="0"/>
      <w:marBottom w:val="0"/>
      <w:divBdr>
        <w:top w:val="none" w:sz="0" w:space="0" w:color="auto"/>
        <w:left w:val="none" w:sz="0" w:space="0" w:color="auto"/>
        <w:bottom w:val="none" w:sz="0" w:space="0" w:color="auto"/>
        <w:right w:val="none" w:sz="0" w:space="0" w:color="auto"/>
      </w:divBdr>
    </w:div>
    <w:div w:id="970597514">
      <w:bodyDiv w:val="1"/>
      <w:marLeft w:val="0"/>
      <w:marRight w:val="0"/>
      <w:marTop w:val="0"/>
      <w:marBottom w:val="0"/>
      <w:divBdr>
        <w:top w:val="none" w:sz="0" w:space="0" w:color="auto"/>
        <w:left w:val="none" w:sz="0" w:space="0" w:color="auto"/>
        <w:bottom w:val="none" w:sz="0" w:space="0" w:color="auto"/>
        <w:right w:val="none" w:sz="0" w:space="0" w:color="auto"/>
      </w:divBdr>
    </w:div>
    <w:div w:id="985738862">
      <w:bodyDiv w:val="1"/>
      <w:marLeft w:val="0"/>
      <w:marRight w:val="0"/>
      <w:marTop w:val="0"/>
      <w:marBottom w:val="0"/>
      <w:divBdr>
        <w:top w:val="none" w:sz="0" w:space="0" w:color="auto"/>
        <w:left w:val="none" w:sz="0" w:space="0" w:color="auto"/>
        <w:bottom w:val="none" w:sz="0" w:space="0" w:color="auto"/>
        <w:right w:val="none" w:sz="0" w:space="0" w:color="auto"/>
      </w:divBdr>
    </w:div>
    <w:div w:id="1249197118">
      <w:bodyDiv w:val="1"/>
      <w:marLeft w:val="0"/>
      <w:marRight w:val="0"/>
      <w:marTop w:val="0"/>
      <w:marBottom w:val="0"/>
      <w:divBdr>
        <w:top w:val="none" w:sz="0" w:space="0" w:color="auto"/>
        <w:left w:val="none" w:sz="0" w:space="0" w:color="auto"/>
        <w:bottom w:val="none" w:sz="0" w:space="0" w:color="auto"/>
        <w:right w:val="none" w:sz="0" w:space="0" w:color="auto"/>
      </w:divBdr>
      <w:divsChild>
        <w:div w:id="1885286669">
          <w:marLeft w:val="0"/>
          <w:marRight w:val="0"/>
          <w:marTop w:val="0"/>
          <w:marBottom w:val="0"/>
          <w:divBdr>
            <w:top w:val="none" w:sz="0" w:space="0" w:color="auto"/>
            <w:left w:val="none" w:sz="0" w:space="0" w:color="auto"/>
            <w:bottom w:val="none" w:sz="0" w:space="0" w:color="auto"/>
            <w:right w:val="none" w:sz="0" w:space="0" w:color="auto"/>
          </w:divBdr>
          <w:divsChild>
            <w:div w:id="1949503308">
              <w:marLeft w:val="0"/>
              <w:marRight w:val="0"/>
              <w:marTop w:val="0"/>
              <w:marBottom w:val="0"/>
              <w:divBdr>
                <w:top w:val="none" w:sz="0" w:space="0" w:color="auto"/>
                <w:left w:val="none" w:sz="0" w:space="0" w:color="auto"/>
                <w:bottom w:val="none" w:sz="0" w:space="0" w:color="auto"/>
                <w:right w:val="none" w:sz="0" w:space="0" w:color="auto"/>
              </w:divBdr>
              <w:divsChild>
                <w:div w:id="8626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3FDFB4429D51543823613E82BD178A7" ma:contentTypeVersion="12" ma:contentTypeDescription="Creare un nuovo documento." ma:contentTypeScope="" ma:versionID="285695084366e228c53a574a5c1601db">
  <xsd:schema xmlns:xsd="http://www.w3.org/2001/XMLSchema" xmlns:xs="http://www.w3.org/2001/XMLSchema" xmlns:p="http://schemas.microsoft.com/office/2006/metadata/properties" xmlns:ns2="709330f1-e4ad-4dd4-b75f-00f02e12f10d" xmlns:ns3="a375e44b-c457-4560-b51e-a4175ada1a15" targetNamespace="http://schemas.microsoft.com/office/2006/metadata/properties" ma:root="true" ma:fieldsID="c5b97bcc1d93b329383c67eedefdcb05" ns2:_="" ns3:_="">
    <xsd:import namespace="709330f1-e4ad-4dd4-b75f-00f02e12f10d"/>
    <xsd:import namespace="a375e44b-c457-4560-b51e-a4175ada1a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30f1-e4ad-4dd4-b75f-00f02e12f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75e44b-c457-4560-b51e-a4175ada1a1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A2DDFC-506E-864A-8F7B-CCE78C05573B}">
  <ds:schemaRefs>
    <ds:schemaRef ds:uri="http://schemas.openxmlformats.org/officeDocument/2006/bibliography"/>
  </ds:schemaRefs>
</ds:datastoreItem>
</file>

<file path=customXml/itemProps2.xml><?xml version="1.0" encoding="utf-8"?>
<ds:datastoreItem xmlns:ds="http://schemas.openxmlformats.org/officeDocument/2006/customXml" ds:itemID="{11571DF9-C1E0-4A49-923F-79CE7DFA727C}"/>
</file>

<file path=customXml/itemProps3.xml><?xml version="1.0" encoding="utf-8"?>
<ds:datastoreItem xmlns:ds="http://schemas.openxmlformats.org/officeDocument/2006/customXml" ds:itemID="{BEF7EF68-BA2E-4AE8-8A04-C150A0007372}"/>
</file>

<file path=customXml/itemProps4.xml><?xml version="1.0" encoding="utf-8"?>
<ds:datastoreItem xmlns:ds="http://schemas.openxmlformats.org/officeDocument/2006/customXml" ds:itemID="{8F85F357-C328-4396-92ED-69546576AD9D}"/>
</file>

<file path=docProps/app.xml><?xml version="1.0" encoding="utf-8"?>
<Properties xmlns="http://schemas.openxmlformats.org/officeDocument/2006/extended-properties" xmlns:vt="http://schemas.openxmlformats.org/officeDocument/2006/docPropsVTypes">
  <Template>Normal.dotm</Template>
  <TotalTime>0</TotalTime>
  <Pages>24</Pages>
  <Words>6601</Words>
  <Characters>37627</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MEF</Company>
  <LinksUpToDate>false</LinksUpToDate>
  <CharactersWithSpaces>44140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Giansante Filippo</dc:creator>
  <cp:keywords/>
  <dc:description/>
  <cp:lastModifiedBy>FB Associati</cp:lastModifiedBy>
  <cp:revision>2</cp:revision>
  <cp:lastPrinted>2020-04-04T17:02:00Z</cp:lastPrinted>
  <dcterms:created xsi:type="dcterms:W3CDTF">2020-04-06T08:01:00Z</dcterms:created>
  <dcterms:modified xsi:type="dcterms:W3CDTF">2020-04-06T08:01:00Z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0x01010043FDFB4429D51543823613E82BD178A7</vt:lpwstr>
  </property>
</Properties>
</file>